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957F" w14:textId="77777777" w:rsidR="00E45210" w:rsidRPr="00E45210" w:rsidRDefault="00E45210" w:rsidP="00E45210">
      <w:r w:rsidRPr="00E45210">
        <w:rPr>
          <w:b/>
          <w:bCs/>
        </w:rPr>
        <w:t>Phase 2: Business Plan &amp; Educational Framework</w:t>
      </w:r>
      <w:r w:rsidRPr="00E45210">
        <w:t> </w:t>
      </w:r>
    </w:p>
    <w:p w14:paraId="5684EF48" w14:textId="6C213627" w:rsidR="00E45210" w:rsidRPr="00E45210" w:rsidRDefault="00E45210" w:rsidP="00E45210">
      <w:r w:rsidRPr="00E45210">
        <w:rPr>
          <w:b/>
          <w:bCs/>
        </w:rPr>
        <w:t>Organization Name:</w:t>
      </w:r>
      <w:r w:rsidRPr="00E45210">
        <w:t> </w:t>
      </w:r>
      <w:proofErr w:type="spellStart"/>
      <w:r w:rsidRPr="00E45210">
        <w:rPr>
          <w:b/>
          <w:bCs/>
        </w:rPr>
        <w:t>CyberSafe</w:t>
      </w:r>
      <w:proofErr w:type="spellEnd"/>
      <w:r w:rsidRPr="00E45210">
        <w:rPr>
          <w:b/>
          <w:bCs/>
        </w:rPr>
        <w:t xml:space="preserve"> </w:t>
      </w:r>
      <w:r w:rsidRPr="00E45210">
        <w:t> </w:t>
      </w:r>
    </w:p>
    <w:p w14:paraId="44DC7E30" w14:textId="6D9F5E2D" w:rsidR="00E45210" w:rsidRPr="00E45210" w:rsidRDefault="00E45210" w:rsidP="00E45210">
      <w:r w:rsidRPr="00E45210">
        <w:rPr>
          <w:b/>
          <w:bCs/>
        </w:rPr>
        <w:t>Mission Statement</w:t>
      </w:r>
      <w:r>
        <w:t>:</w:t>
      </w:r>
    </w:p>
    <w:p w14:paraId="4870F398" w14:textId="05FD93F1" w:rsidR="00E45210" w:rsidRPr="00E45210" w:rsidRDefault="00E45210" w:rsidP="00E45210">
      <w:proofErr w:type="spellStart"/>
      <w:r w:rsidRPr="00E45210">
        <w:rPr>
          <w:b/>
          <w:bCs/>
          <w:i/>
          <w:iCs/>
        </w:rPr>
        <w:t>CyberSafe</w:t>
      </w:r>
      <w:proofErr w:type="spellEnd"/>
      <w:r w:rsidRPr="00E45210">
        <w:rPr>
          <w:b/>
          <w:bCs/>
        </w:rPr>
        <w:t xml:space="preserve"> empowers </w:t>
      </w:r>
      <w:proofErr w:type="gramStart"/>
      <w:r w:rsidRPr="00E45210">
        <w:rPr>
          <w:b/>
          <w:bCs/>
        </w:rPr>
        <w:t>everyday internet users</w:t>
      </w:r>
      <w:proofErr w:type="gramEnd"/>
      <w:r w:rsidRPr="00E45210">
        <w:rPr>
          <w:b/>
          <w:bCs/>
        </w:rPr>
        <w:t xml:space="preserve"> to take control of their digital safety. We provide clear, accessible cybersecurity education that helps people understand online risks, protect personal data, and practice secure digital habits in their daily lives.</w:t>
      </w:r>
      <w:r w:rsidRPr="00E45210">
        <w:t> </w:t>
      </w:r>
    </w:p>
    <w:p w14:paraId="303DDA0C" w14:textId="77777777" w:rsidR="00E45210" w:rsidRPr="00E45210" w:rsidRDefault="00E45210" w:rsidP="00E45210">
      <w:r w:rsidRPr="00E45210">
        <w:rPr>
          <w:b/>
          <w:bCs/>
        </w:rPr>
        <w:t>Objectives</w:t>
      </w:r>
      <w:r w:rsidRPr="00E45210">
        <w:t> </w:t>
      </w:r>
    </w:p>
    <w:p w14:paraId="4FE2D14E" w14:textId="77777777" w:rsidR="00E45210" w:rsidRPr="00E45210" w:rsidRDefault="00E45210" w:rsidP="00E45210">
      <w:pPr>
        <w:numPr>
          <w:ilvl w:val="0"/>
          <w:numId w:val="1"/>
        </w:numPr>
      </w:pPr>
      <w:r w:rsidRPr="00E45210">
        <w:t>To teach essential cybersecurity topics such as cryptography, hashing, password hygiene &amp; best practices, and information about recent breach case studies. </w:t>
      </w:r>
    </w:p>
    <w:p w14:paraId="4B847A19" w14:textId="77777777" w:rsidR="00E45210" w:rsidRPr="00E45210" w:rsidRDefault="00E45210" w:rsidP="00E45210">
      <w:pPr>
        <w:numPr>
          <w:ilvl w:val="0"/>
          <w:numId w:val="2"/>
        </w:numPr>
      </w:pPr>
      <w:r w:rsidRPr="00E45210">
        <w:t>To raise awareness about digital threats and how to prevent them. </w:t>
      </w:r>
    </w:p>
    <w:p w14:paraId="344CE5FA" w14:textId="77777777" w:rsidR="00E45210" w:rsidRPr="00E45210" w:rsidRDefault="00E45210" w:rsidP="00E45210">
      <w:pPr>
        <w:numPr>
          <w:ilvl w:val="0"/>
          <w:numId w:val="3"/>
        </w:numPr>
      </w:pPr>
      <w:r w:rsidRPr="00E45210">
        <w:t>To promote responsible online behavior and respect for data privacy. </w:t>
      </w:r>
    </w:p>
    <w:p w14:paraId="2395EF64" w14:textId="023B456A" w:rsidR="00E45210" w:rsidRPr="00E45210" w:rsidRDefault="00E45210" w:rsidP="00E45210">
      <w:pPr>
        <w:numPr>
          <w:ilvl w:val="0"/>
          <w:numId w:val="4"/>
        </w:numPr>
      </w:pPr>
      <w:r w:rsidRPr="00E45210">
        <w:t>To provide a free, reliable online learning platform that supports self-education in cybersecurity. </w:t>
      </w:r>
    </w:p>
    <w:p w14:paraId="4A0D84D4" w14:textId="77777777" w:rsidR="00E45210" w:rsidRPr="00E45210" w:rsidRDefault="00E45210" w:rsidP="00E45210">
      <w:r w:rsidRPr="00E45210">
        <w:rPr>
          <w:b/>
          <w:bCs/>
        </w:rPr>
        <w:t>Skills &amp; Team Roles</w:t>
      </w:r>
      <w:r w:rsidRPr="00E45210">
        <w:t> </w:t>
      </w:r>
    </w:p>
    <w:tbl>
      <w:tblPr>
        <w:tblW w:w="0" w:type="dxa"/>
        <w:tblInd w:w="-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984"/>
        <w:gridCol w:w="5571"/>
      </w:tblGrid>
      <w:tr w:rsidR="00E45210" w:rsidRPr="00E45210" w14:paraId="48B3B1D7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D8705" w14:textId="77777777" w:rsidR="00E45210" w:rsidRPr="00E45210" w:rsidRDefault="00E45210" w:rsidP="00E45210">
            <w:r w:rsidRPr="00E45210">
              <w:rPr>
                <w:b/>
                <w:bCs/>
              </w:rPr>
              <w:t>Team Member</w:t>
            </w:r>
            <w:r w:rsidRPr="00E45210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181AA" w14:textId="77777777" w:rsidR="00E45210" w:rsidRPr="00E45210" w:rsidRDefault="00E45210" w:rsidP="00E45210">
            <w:r w:rsidRPr="00E45210">
              <w:rPr>
                <w:b/>
                <w:bCs/>
              </w:rPr>
              <w:t>Assigned Role</w:t>
            </w:r>
            <w:r w:rsidRPr="00E45210"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82F1A" w14:textId="77777777" w:rsidR="00E45210" w:rsidRPr="00E45210" w:rsidRDefault="00E45210" w:rsidP="00E45210">
            <w:r w:rsidRPr="00E45210">
              <w:rPr>
                <w:b/>
                <w:bCs/>
              </w:rPr>
              <w:t>Responsibilities</w:t>
            </w:r>
            <w:r w:rsidRPr="00E45210">
              <w:t> </w:t>
            </w:r>
          </w:p>
        </w:tc>
      </w:tr>
      <w:tr w:rsidR="00E45210" w:rsidRPr="00E45210" w14:paraId="64521498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A6431" w14:textId="77777777" w:rsidR="00E45210" w:rsidRPr="00E45210" w:rsidRDefault="00E45210" w:rsidP="00E45210">
            <w:r w:rsidRPr="00E45210">
              <w:rPr>
                <w:b/>
                <w:bCs/>
              </w:rPr>
              <w:t>Mason Taylor</w:t>
            </w:r>
            <w:r w:rsidRPr="00E45210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27288" w14:textId="77777777" w:rsidR="00E45210" w:rsidRPr="00E45210" w:rsidRDefault="00E45210" w:rsidP="00E45210">
            <w:proofErr w:type="spellStart"/>
            <w:r w:rsidRPr="00E45210">
              <w:rPr>
                <w:b/>
                <w:bCs/>
              </w:rPr>
              <w:t>Cryptograpghy</w:t>
            </w:r>
            <w:proofErr w:type="spellEnd"/>
            <w:r w:rsidRPr="00E45210">
              <w:rPr>
                <w:b/>
                <w:bCs/>
              </w:rPr>
              <w:t xml:space="preserve"> Specialist </w:t>
            </w:r>
            <w:r w:rsidRPr="00E45210"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0B73A" w14:textId="77777777" w:rsidR="00E45210" w:rsidRPr="00E45210" w:rsidRDefault="00E45210" w:rsidP="00E45210">
            <w:r w:rsidRPr="00E45210">
              <w:t>Designs and explains cryptographic concepts, verifies encryption examples, and ensures technical accuracy in all materials. </w:t>
            </w:r>
          </w:p>
        </w:tc>
      </w:tr>
      <w:tr w:rsidR="00E45210" w:rsidRPr="00E45210" w14:paraId="2470C53F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CF3F8" w14:textId="77777777" w:rsidR="00E45210" w:rsidRPr="00E45210" w:rsidRDefault="00E45210" w:rsidP="00E45210">
            <w:r w:rsidRPr="00E45210">
              <w:rPr>
                <w:b/>
                <w:bCs/>
              </w:rPr>
              <w:t>Jane Grankina</w:t>
            </w:r>
            <w:r w:rsidRPr="00E45210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4864" w14:textId="77777777" w:rsidR="00E45210" w:rsidRPr="00E45210" w:rsidRDefault="00E45210" w:rsidP="00E45210">
            <w:r w:rsidRPr="00E45210">
              <w:rPr>
                <w:b/>
                <w:bCs/>
              </w:rPr>
              <w:t>Hashing Specialist</w:t>
            </w:r>
            <w:r w:rsidRPr="00E45210"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DC8E5" w14:textId="77777777" w:rsidR="00E45210" w:rsidRPr="00E45210" w:rsidRDefault="00E45210" w:rsidP="00E45210">
            <w:r w:rsidRPr="00E45210">
              <w:t>Develops and demonstrates hashing processes, records and edits presentations explaining hashing algorithms. </w:t>
            </w:r>
          </w:p>
        </w:tc>
      </w:tr>
      <w:tr w:rsidR="00E45210" w:rsidRPr="00E45210" w14:paraId="26BE0456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C361" w14:textId="77777777" w:rsidR="00E45210" w:rsidRPr="00E45210" w:rsidRDefault="00E45210" w:rsidP="00E45210">
            <w:r w:rsidRPr="00E45210">
              <w:rPr>
                <w:b/>
                <w:bCs/>
              </w:rPr>
              <w:t>Boris Tavrovsky</w:t>
            </w:r>
            <w:r w:rsidRPr="00E45210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0A47" w14:textId="77777777" w:rsidR="00E45210" w:rsidRPr="00E45210" w:rsidRDefault="00E45210" w:rsidP="00E45210">
            <w:r w:rsidRPr="00E45210">
              <w:rPr>
                <w:b/>
                <w:bCs/>
              </w:rPr>
              <w:t>Password Hygiene &amp; Best Practices Specialist</w:t>
            </w:r>
            <w:r w:rsidRPr="00E45210"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DF573" w14:textId="77777777" w:rsidR="00E45210" w:rsidRPr="00E45210" w:rsidRDefault="00E45210" w:rsidP="00E45210">
            <w:r w:rsidRPr="00E45210">
              <w:t>Creates website sections on password safety, implements interactive examples, and manages page structure and accessibility. </w:t>
            </w:r>
          </w:p>
        </w:tc>
      </w:tr>
      <w:tr w:rsidR="00E45210" w:rsidRPr="00E45210" w14:paraId="5E1111A7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91CA0" w14:textId="77777777" w:rsidR="00E45210" w:rsidRPr="00E45210" w:rsidRDefault="00E45210" w:rsidP="00E45210">
            <w:r w:rsidRPr="00E45210">
              <w:rPr>
                <w:b/>
                <w:bCs/>
              </w:rPr>
              <w:t>Trinity Dubbs</w:t>
            </w:r>
            <w:r w:rsidRPr="00E45210"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C079B" w14:textId="77777777" w:rsidR="00E45210" w:rsidRPr="00E45210" w:rsidRDefault="00E45210" w:rsidP="00E45210">
            <w:r w:rsidRPr="00E45210">
              <w:rPr>
                <w:b/>
                <w:bCs/>
              </w:rPr>
              <w:t>Breach Case Specialist</w:t>
            </w:r>
            <w:r w:rsidRPr="00E45210"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CAB37" w14:textId="77777777" w:rsidR="00E45210" w:rsidRPr="00E45210" w:rsidRDefault="00E45210" w:rsidP="00E45210">
            <w:proofErr w:type="gramStart"/>
            <w:r w:rsidRPr="00E45210">
              <w:t>Researches</w:t>
            </w:r>
            <w:proofErr w:type="gramEnd"/>
            <w:r w:rsidRPr="00E45210">
              <w:t xml:space="preserve"> real-world breach incidents, writes case study scripts, and develops the privacy policy and breach response documentation. </w:t>
            </w:r>
          </w:p>
        </w:tc>
      </w:tr>
    </w:tbl>
    <w:p w14:paraId="4FDF281B" w14:textId="77777777" w:rsidR="00E45210" w:rsidRPr="00E45210" w:rsidRDefault="00E45210" w:rsidP="00E45210">
      <w:r w:rsidRPr="00E45210">
        <w:t>These roles ensure work is evenly distributed and aligned with strengths, while still allowing collaboration. </w:t>
      </w:r>
    </w:p>
    <w:p w14:paraId="3F128374" w14:textId="77777777" w:rsidR="00E45210" w:rsidRPr="00E45210" w:rsidRDefault="00E45210" w:rsidP="00E45210">
      <w:r w:rsidRPr="00E45210">
        <w:rPr>
          <w:b/>
          <w:bCs/>
        </w:rPr>
        <w:lastRenderedPageBreak/>
        <w:t>Ethical and Legal Considerations</w:t>
      </w:r>
      <w:r w:rsidRPr="00E45210"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230"/>
      </w:tblGrid>
      <w:tr w:rsidR="00E45210" w:rsidRPr="00E45210" w14:paraId="5EC43AD9" w14:textId="77777777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9C558" w14:textId="77777777" w:rsidR="00E45210" w:rsidRPr="00E45210" w:rsidRDefault="00E45210" w:rsidP="00E45210">
            <w:r w:rsidRPr="00E45210">
              <w:rPr>
                <w:b/>
                <w:bCs/>
              </w:rPr>
              <w:t>Area</w:t>
            </w:r>
            <w:r w:rsidRPr="00E45210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49064" w14:textId="77777777" w:rsidR="00E45210" w:rsidRPr="00E45210" w:rsidRDefault="00E45210" w:rsidP="00E45210">
            <w:r w:rsidRPr="00E45210">
              <w:rPr>
                <w:b/>
                <w:bCs/>
              </w:rPr>
              <w:t>Approach</w:t>
            </w:r>
            <w:r w:rsidRPr="00E45210">
              <w:t> </w:t>
            </w:r>
          </w:p>
        </w:tc>
      </w:tr>
      <w:tr w:rsidR="00E45210" w:rsidRPr="00E45210" w14:paraId="758B0A67" w14:textId="77777777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26D9A" w14:textId="77777777" w:rsidR="00E45210" w:rsidRPr="00E45210" w:rsidRDefault="00E45210" w:rsidP="00E45210">
            <w:r w:rsidRPr="00E45210">
              <w:rPr>
                <w:b/>
                <w:bCs/>
              </w:rPr>
              <w:t>Data Privacy</w:t>
            </w:r>
            <w:r w:rsidRPr="00E45210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6D75" w14:textId="77777777" w:rsidR="00E45210" w:rsidRPr="00E45210" w:rsidRDefault="00E45210" w:rsidP="00E45210">
            <w:r w:rsidRPr="00E45210">
              <w:t>The website will collect minimal or no personal data and will clearly disclose all data practices in the Privacy Policy. </w:t>
            </w:r>
          </w:p>
        </w:tc>
      </w:tr>
      <w:tr w:rsidR="00E45210" w:rsidRPr="00E45210" w14:paraId="16B6BD06" w14:textId="77777777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AF6A5" w14:textId="77777777" w:rsidR="00E45210" w:rsidRPr="00E45210" w:rsidRDefault="00E45210" w:rsidP="00E45210">
            <w:r w:rsidRPr="00E45210">
              <w:rPr>
                <w:b/>
                <w:bCs/>
              </w:rPr>
              <w:t>Content Accuracy</w:t>
            </w:r>
            <w:r w:rsidRPr="00E45210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50112" w14:textId="77777777" w:rsidR="00E45210" w:rsidRPr="00E45210" w:rsidRDefault="00E45210" w:rsidP="00E45210">
            <w:r w:rsidRPr="00E45210">
              <w:t>All educational content will be researched from reputable cybersecurity sources. </w:t>
            </w:r>
          </w:p>
        </w:tc>
      </w:tr>
      <w:tr w:rsidR="00E45210" w:rsidRPr="00E45210" w14:paraId="748D1A87" w14:textId="77777777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E4C78" w14:textId="77777777" w:rsidR="00E45210" w:rsidRPr="00E45210" w:rsidRDefault="00E45210" w:rsidP="00E45210">
            <w:r w:rsidRPr="00E45210">
              <w:rPr>
                <w:b/>
                <w:bCs/>
              </w:rPr>
              <w:t>Copyright &amp; Licensing</w:t>
            </w:r>
            <w:r w:rsidRPr="00E45210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887C3" w14:textId="77777777" w:rsidR="00E45210" w:rsidRPr="00E45210" w:rsidRDefault="00E45210" w:rsidP="00E45210">
            <w:r w:rsidRPr="00E45210">
              <w:t>All visuals, writings, and videos will be original or licensed under Creative Commons. </w:t>
            </w:r>
          </w:p>
        </w:tc>
      </w:tr>
      <w:tr w:rsidR="00E45210" w:rsidRPr="00E45210" w14:paraId="7003977B" w14:textId="77777777">
        <w:trPr>
          <w:trHeight w:val="3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B350" w14:textId="77777777" w:rsidR="00E45210" w:rsidRPr="00E45210" w:rsidRDefault="00E45210" w:rsidP="00E45210">
            <w:r w:rsidRPr="00E45210">
              <w:rPr>
                <w:b/>
                <w:bCs/>
              </w:rPr>
              <w:t>Responsible Security Messaging</w:t>
            </w:r>
            <w:r w:rsidRPr="00E45210"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F114" w14:textId="77777777" w:rsidR="00E45210" w:rsidRPr="00E45210" w:rsidRDefault="00E45210" w:rsidP="00E45210">
            <w:r w:rsidRPr="00E45210">
              <w:t>We will avoid fear-based messaging and instead promote confidence, awareness, and empowerment. </w:t>
            </w:r>
          </w:p>
        </w:tc>
      </w:tr>
    </w:tbl>
    <w:p w14:paraId="54D73667" w14:textId="77777777" w:rsidR="00E45210" w:rsidRPr="00E45210" w:rsidRDefault="00E45210" w:rsidP="00E45210">
      <w:r w:rsidRPr="00E45210">
        <w:t> </w:t>
      </w:r>
    </w:p>
    <w:p w14:paraId="5F4EFCD6" w14:textId="77777777" w:rsidR="00E45210" w:rsidRPr="00E45210" w:rsidRDefault="00E45210" w:rsidP="00E45210">
      <w:proofErr w:type="spellStart"/>
      <w:r w:rsidRPr="00E45210">
        <w:rPr>
          <w:b/>
          <w:bCs/>
        </w:rPr>
        <w:t>CyberSafe</w:t>
      </w:r>
      <w:proofErr w:type="spellEnd"/>
      <w:r w:rsidRPr="00E45210">
        <w:rPr>
          <w:b/>
          <w:bCs/>
        </w:rPr>
        <w:t xml:space="preserve"> Digital Education: Security Response Plan</w:t>
      </w:r>
      <w:r w:rsidRPr="00E45210">
        <w:t> </w:t>
      </w:r>
    </w:p>
    <w:p w14:paraId="74467B66" w14:textId="77777777" w:rsidR="00E45210" w:rsidRPr="00E45210" w:rsidRDefault="00E45210" w:rsidP="00E45210">
      <w:r w:rsidRPr="00E45210">
        <w:rPr>
          <w:b/>
          <w:bCs/>
        </w:rPr>
        <w:t>1. Purpose</w:t>
      </w:r>
      <w:r w:rsidRPr="00E45210">
        <w:t> </w:t>
      </w:r>
    </w:p>
    <w:p w14:paraId="4EF8FA34" w14:textId="77777777" w:rsidR="00E45210" w:rsidRPr="00E45210" w:rsidRDefault="00E45210" w:rsidP="00E45210">
      <w:r w:rsidRPr="00E45210">
        <w:t xml:space="preserve">This Security Response Plan outlines how </w:t>
      </w:r>
      <w:proofErr w:type="spellStart"/>
      <w:r w:rsidRPr="00E45210">
        <w:t>CyberSafe</w:t>
      </w:r>
      <w:proofErr w:type="spellEnd"/>
      <w:r w:rsidRPr="00E45210">
        <w:t xml:space="preserve"> Digital Education will </w:t>
      </w:r>
      <w:r w:rsidRPr="00E45210">
        <w:rPr>
          <w:b/>
          <w:bCs/>
        </w:rPr>
        <w:t>detect, contain, and respond</w:t>
      </w:r>
      <w:r w:rsidRPr="00E45210">
        <w:t xml:space="preserve"> to potential cybersecurity breaches or data incidents affecting our website, users, or systems. </w:t>
      </w:r>
      <w:r w:rsidRPr="00E45210">
        <w:br/>
        <w:t>Our goal is to: </w:t>
      </w:r>
    </w:p>
    <w:p w14:paraId="40A38A5C" w14:textId="77777777" w:rsidR="00E45210" w:rsidRPr="00E45210" w:rsidRDefault="00E45210" w:rsidP="00E45210">
      <w:pPr>
        <w:numPr>
          <w:ilvl w:val="0"/>
          <w:numId w:val="5"/>
        </w:numPr>
      </w:pPr>
      <w:r w:rsidRPr="00E45210">
        <w:t>Minimize damage and data loss </w:t>
      </w:r>
    </w:p>
    <w:p w14:paraId="5CFFD3B8" w14:textId="77777777" w:rsidR="00E45210" w:rsidRPr="00E45210" w:rsidRDefault="00E45210" w:rsidP="00E45210">
      <w:pPr>
        <w:numPr>
          <w:ilvl w:val="0"/>
          <w:numId w:val="6"/>
        </w:numPr>
      </w:pPr>
      <w:r w:rsidRPr="00E45210">
        <w:t>Restore normal operations quickly </w:t>
      </w:r>
    </w:p>
    <w:p w14:paraId="5D6A340D" w14:textId="77777777" w:rsidR="00E45210" w:rsidRPr="00E45210" w:rsidRDefault="00E45210" w:rsidP="00E45210">
      <w:pPr>
        <w:numPr>
          <w:ilvl w:val="0"/>
          <w:numId w:val="7"/>
        </w:numPr>
      </w:pPr>
      <w:r w:rsidRPr="00E45210">
        <w:t>Maintain user trust and transparency </w:t>
      </w:r>
    </w:p>
    <w:p w14:paraId="4E5BBA60" w14:textId="77777777" w:rsidR="00E45210" w:rsidRPr="00E45210" w:rsidRDefault="00E45210" w:rsidP="00E45210">
      <w:pPr>
        <w:numPr>
          <w:ilvl w:val="0"/>
          <w:numId w:val="8"/>
        </w:numPr>
      </w:pPr>
      <w:r w:rsidRPr="00E45210">
        <w:t>Continuously strengthen website security </w:t>
      </w:r>
    </w:p>
    <w:p w14:paraId="3009E50B" w14:textId="77777777" w:rsidR="00E45210" w:rsidRPr="00E45210" w:rsidRDefault="00E45210" w:rsidP="00E45210">
      <w:r w:rsidRPr="00E45210">
        <w:t> </w:t>
      </w:r>
    </w:p>
    <w:p w14:paraId="06A4AD9E" w14:textId="77777777" w:rsidR="00E45210" w:rsidRPr="00E45210" w:rsidRDefault="00E45210" w:rsidP="00E45210">
      <w:r w:rsidRPr="00E45210">
        <w:rPr>
          <w:b/>
          <w:bCs/>
        </w:rPr>
        <w:t>2. Scope</w:t>
      </w:r>
      <w:r w:rsidRPr="00E45210">
        <w:t> </w:t>
      </w:r>
    </w:p>
    <w:p w14:paraId="76A538F9" w14:textId="77777777" w:rsidR="00E45210" w:rsidRPr="00E45210" w:rsidRDefault="00E45210" w:rsidP="00E45210">
      <w:r w:rsidRPr="00E45210">
        <w:t>This plan applies to: </w:t>
      </w:r>
    </w:p>
    <w:p w14:paraId="3B879999" w14:textId="77777777" w:rsidR="00E45210" w:rsidRPr="00E45210" w:rsidRDefault="00E45210" w:rsidP="00E45210">
      <w:pPr>
        <w:numPr>
          <w:ilvl w:val="0"/>
          <w:numId w:val="9"/>
        </w:numPr>
      </w:pPr>
      <w:r w:rsidRPr="00E45210">
        <w:t xml:space="preserve">The </w:t>
      </w:r>
      <w:proofErr w:type="spellStart"/>
      <w:r w:rsidRPr="00E45210">
        <w:t>CyberSafe</w:t>
      </w:r>
      <w:proofErr w:type="spellEnd"/>
      <w:r w:rsidRPr="00E45210">
        <w:t xml:space="preserve"> website (hosted on </w:t>
      </w:r>
      <w:proofErr w:type="spellStart"/>
      <w:r w:rsidRPr="00E45210">
        <w:t>Webador</w:t>
      </w:r>
      <w:proofErr w:type="spellEnd"/>
      <w:r w:rsidRPr="00E45210">
        <w:t>) </w:t>
      </w:r>
    </w:p>
    <w:p w14:paraId="5C1C6736" w14:textId="77777777" w:rsidR="00E45210" w:rsidRPr="00E45210" w:rsidRDefault="00E45210" w:rsidP="00E45210">
      <w:pPr>
        <w:numPr>
          <w:ilvl w:val="0"/>
          <w:numId w:val="10"/>
        </w:numPr>
      </w:pPr>
      <w:r w:rsidRPr="00E45210">
        <w:t xml:space="preserve">All team members </w:t>
      </w:r>
      <w:proofErr w:type="gramStart"/>
      <w:r w:rsidRPr="00E45210">
        <w:t>involved</w:t>
      </w:r>
      <w:proofErr w:type="gramEnd"/>
      <w:r w:rsidRPr="00E45210">
        <w:t xml:space="preserve"> in website content and management </w:t>
      </w:r>
    </w:p>
    <w:p w14:paraId="48B05A48" w14:textId="77777777" w:rsidR="00E45210" w:rsidRPr="00E45210" w:rsidRDefault="00E45210" w:rsidP="00E45210">
      <w:pPr>
        <w:numPr>
          <w:ilvl w:val="0"/>
          <w:numId w:val="11"/>
        </w:numPr>
      </w:pPr>
      <w:r w:rsidRPr="00E45210">
        <w:t xml:space="preserve">Any </w:t>
      </w:r>
      <w:proofErr w:type="gramStart"/>
      <w:r w:rsidRPr="00E45210">
        <w:t>collected data</w:t>
      </w:r>
      <w:proofErr w:type="gramEnd"/>
      <w:r w:rsidRPr="00E45210">
        <w:t xml:space="preserve"> (e.g., contact form submissions, analytics) </w:t>
      </w:r>
    </w:p>
    <w:p w14:paraId="308469ED" w14:textId="77777777" w:rsidR="00E45210" w:rsidRPr="00E45210" w:rsidRDefault="00E45210" w:rsidP="00E45210">
      <w:r w:rsidRPr="00E45210">
        <w:lastRenderedPageBreak/>
        <w:t> </w:t>
      </w:r>
    </w:p>
    <w:p w14:paraId="62E086E8" w14:textId="77777777" w:rsidR="00E45210" w:rsidRPr="00E45210" w:rsidRDefault="00E45210" w:rsidP="00E45210">
      <w:r w:rsidRPr="00E45210">
        <w:rPr>
          <w:b/>
          <w:bCs/>
        </w:rPr>
        <w:t>3. Key Roles &amp; Responsibilities in case of Security Breach</w:t>
      </w:r>
      <w:r w:rsidRPr="00E45210">
        <w:t> </w:t>
      </w:r>
    </w:p>
    <w:tbl>
      <w:tblPr>
        <w:tblW w:w="0" w:type="dxa"/>
        <w:tblInd w:w="-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1424"/>
        <w:gridCol w:w="6142"/>
      </w:tblGrid>
      <w:tr w:rsidR="00E45210" w:rsidRPr="00E45210" w14:paraId="639A5B44" w14:textId="7777777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45C01" w14:textId="77777777" w:rsidR="00E45210" w:rsidRPr="00E45210" w:rsidRDefault="00E45210" w:rsidP="00E45210">
            <w:r w:rsidRPr="00E45210">
              <w:rPr>
                <w:b/>
                <w:bCs/>
              </w:rPr>
              <w:t>Role</w:t>
            </w:r>
            <w:r w:rsidRPr="00E45210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7784" w14:textId="77777777" w:rsidR="00E45210" w:rsidRPr="00E45210" w:rsidRDefault="00E45210" w:rsidP="00E45210">
            <w:r w:rsidRPr="00E45210">
              <w:rPr>
                <w:b/>
                <w:bCs/>
              </w:rPr>
              <w:t>Team Member</w:t>
            </w:r>
            <w:r w:rsidRPr="00E45210">
              <w:t> 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7E50A" w14:textId="77777777" w:rsidR="00E45210" w:rsidRPr="00E45210" w:rsidRDefault="00E45210" w:rsidP="00E45210">
            <w:r w:rsidRPr="00E45210">
              <w:rPr>
                <w:b/>
                <w:bCs/>
              </w:rPr>
              <w:t>Responsibilities</w:t>
            </w:r>
            <w:r w:rsidRPr="00E45210">
              <w:t> </w:t>
            </w:r>
          </w:p>
        </w:tc>
      </w:tr>
      <w:tr w:rsidR="00E45210" w:rsidRPr="00E45210" w14:paraId="3304082B" w14:textId="7777777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C271B" w14:textId="77777777" w:rsidR="00E45210" w:rsidRPr="00E45210" w:rsidRDefault="00E45210" w:rsidP="00E45210">
            <w:r w:rsidRPr="00E45210">
              <w:rPr>
                <w:b/>
                <w:bCs/>
              </w:rPr>
              <w:t>Incident Coordinator</w:t>
            </w:r>
            <w:r w:rsidRPr="00E45210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03C2" w14:textId="77777777" w:rsidR="00E45210" w:rsidRPr="00E45210" w:rsidRDefault="00E45210" w:rsidP="00E45210">
            <w:r w:rsidRPr="00E45210">
              <w:rPr>
                <w:i/>
                <w:iCs/>
              </w:rPr>
              <w:t>Trinity Dubbs</w:t>
            </w:r>
            <w:r w:rsidRPr="00E45210">
              <w:t> 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1839" w14:textId="77777777" w:rsidR="00E45210" w:rsidRPr="00E45210" w:rsidRDefault="00E45210" w:rsidP="00E45210">
            <w:r w:rsidRPr="00E45210">
              <w:t>Lead breach response, communicate with hosting provider, document events </w:t>
            </w:r>
          </w:p>
        </w:tc>
      </w:tr>
      <w:tr w:rsidR="00E45210" w:rsidRPr="00E45210" w14:paraId="5AC71CA0" w14:textId="7777777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A1BB5" w14:textId="77777777" w:rsidR="00E45210" w:rsidRPr="00E45210" w:rsidRDefault="00E45210" w:rsidP="00E45210">
            <w:r w:rsidRPr="00E45210">
              <w:rPr>
                <w:b/>
                <w:bCs/>
              </w:rPr>
              <w:t>Technical Lead</w:t>
            </w:r>
            <w:r w:rsidRPr="00E45210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5D089" w14:textId="77777777" w:rsidR="00E45210" w:rsidRPr="00E45210" w:rsidRDefault="00E45210" w:rsidP="00E45210">
            <w:r w:rsidRPr="00E45210">
              <w:rPr>
                <w:i/>
                <w:iCs/>
              </w:rPr>
              <w:t>Mason Taylor</w:t>
            </w:r>
            <w:r w:rsidRPr="00E45210">
              <w:t> 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DF32F" w14:textId="77777777" w:rsidR="00E45210" w:rsidRPr="00E45210" w:rsidRDefault="00E45210" w:rsidP="00E45210">
            <w:r w:rsidRPr="00E45210">
              <w:t>Verify technical integrity, assess cryptography-related vulnerabilities </w:t>
            </w:r>
          </w:p>
        </w:tc>
      </w:tr>
      <w:tr w:rsidR="00E45210" w:rsidRPr="00E45210" w14:paraId="79AEAF75" w14:textId="7777777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21C10" w14:textId="77777777" w:rsidR="00E45210" w:rsidRPr="00E45210" w:rsidRDefault="00E45210" w:rsidP="00E45210">
            <w:r w:rsidRPr="00E45210">
              <w:rPr>
                <w:b/>
                <w:bCs/>
              </w:rPr>
              <w:t>Data Protection Officer</w:t>
            </w:r>
            <w:r w:rsidRPr="00E45210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67E8" w14:textId="77777777" w:rsidR="00E45210" w:rsidRPr="00E45210" w:rsidRDefault="00E45210" w:rsidP="00E45210">
            <w:r w:rsidRPr="00E45210">
              <w:rPr>
                <w:i/>
                <w:iCs/>
              </w:rPr>
              <w:t>Jane Grankina</w:t>
            </w:r>
            <w:r w:rsidRPr="00E45210">
              <w:t> 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DFDCE" w14:textId="77777777" w:rsidR="00E45210" w:rsidRPr="00E45210" w:rsidRDefault="00E45210" w:rsidP="00E45210">
            <w:r w:rsidRPr="00E45210">
              <w:t>Oversee privacy compliance and user data protection </w:t>
            </w:r>
          </w:p>
        </w:tc>
      </w:tr>
      <w:tr w:rsidR="00E45210" w:rsidRPr="00E45210" w14:paraId="1F3A879D" w14:textId="7777777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E23B9" w14:textId="77777777" w:rsidR="00E45210" w:rsidRPr="00E45210" w:rsidRDefault="00E45210" w:rsidP="00E45210">
            <w:r w:rsidRPr="00E45210">
              <w:rPr>
                <w:b/>
                <w:bCs/>
              </w:rPr>
              <w:t>Communications Lead</w:t>
            </w:r>
            <w:r w:rsidRPr="00E45210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D52BE" w14:textId="77777777" w:rsidR="00E45210" w:rsidRPr="00E45210" w:rsidRDefault="00E45210" w:rsidP="00E45210">
            <w:r w:rsidRPr="00E45210">
              <w:rPr>
                <w:i/>
                <w:iCs/>
              </w:rPr>
              <w:t>Boris Tavrovsky</w:t>
            </w:r>
            <w:r w:rsidRPr="00E45210">
              <w:t> 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F107" w14:textId="77777777" w:rsidR="00E45210" w:rsidRPr="00E45210" w:rsidRDefault="00E45210" w:rsidP="00E45210">
            <w:r w:rsidRPr="00E45210">
              <w:t>Manage public and internal communications during/after an incident </w:t>
            </w:r>
          </w:p>
        </w:tc>
      </w:tr>
    </w:tbl>
    <w:p w14:paraId="2371655C" w14:textId="77777777" w:rsidR="00E45210" w:rsidRPr="00E45210" w:rsidRDefault="00E45210" w:rsidP="00E45210">
      <w:r w:rsidRPr="00E45210">
        <w:t> </w:t>
      </w:r>
    </w:p>
    <w:p w14:paraId="504A2D4C" w14:textId="77777777" w:rsidR="00E45210" w:rsidRPr="00E45210" w:rsidRDefault="00E45210" w:rsidP="00E45210">
      <w:r w:rsidRPr="00E45210">
        <w:rPr>
          <w:b/>
          <w:bCs/>
        </w:rPr>
        <w:t>4. Detection &amp; Monitoring</w:t>
      </w:r>
      <w:r w:rsidRPr="00E45210">
        <w:t> </w:t>
      </w:r>
    </w:p>
    <w:p w14:paraId="48B8A343" w14:textId="77777777" w:rsidR="00E45210" w:rsidRPr="00E45210" w:rsidRDefault="00E45210" w:rsidP="00E45210">
      <w:r w:rsidRPr="00E45210">
        <w:t xml:space="preserve">Even though </w:t>
      </w:r>
      <w:proofErr w:type="spellStart"/>
      <w:r w:rsidRPr="00E45210">
        <w:t>CyberSafe</w:t>
      </w:r>
      <w:proofErr w:type="spellEnd"/>
      <w:r w:rsidRPr="00E45210">
        <w:t xml:space="preserve"> is a small educational site hosted on </w:t>
      </w:r>
      <w:proofErr w:type="spellStart"/>
      <w:r w:rsidRPr="00E45210">
        <w:t>Webador</w:t>
      </w:r>
      <w:proofErr w:type="spellEnd"/>
      <w:r w:rsidRPr="00E45210">
        <w:t xml:space="preserve">, </w:t>
      </w:r>
      <w:r w:rsidRPr="00E45210">
        <w:rPr>
          <w:b/>
          <w:bCs/>
        </w:rPr>
        <w:t>early detection</w:t>
      </w:r>
      <w:r w:rsidRPr="00E45210">
        <w:t xml:space="preserve"> is essential. </w:t>
      </w:r>
      <w:r w:rsidRPr="00E45210">
        <w:br/>
        <w:t>We will use the following methods to identify suspicious activity: </w:t>
      </w:r>
    </w:p>
    <w:p w14:paraId="6E5C1555" w14:textId="77777777" w:rsidR="00E45210" w:rsidRPr="00E45210" w:rsidRDefault="00E45210" w:rsidP="00E45210">
      <w:proofErr w:type="gramStart"/>
      <w:r w:rsidRPr="00E45210">
        <w:rPr>
          <w:b/>
          <w:bCs/>
        </w:rPr>
        <w:t>a. Automated</w:t>
      </w:r>
      <w:proofErr w:type="gramEnd"/>
      <w:r w:rsidRPr="00E45210">
        <w:rPr>
          <w:b/>
          <w:bCs/>
        </w:rPr>
        <w:t xml:space="preserve"> Detection Tools (via </w:t>
      </w:r>
      <w:proofErr w:type="spellStart"/>
      <w:r w:rsidRPr="00E45210">
        <w:rPr>
          <w:b/>
          <w:bCs/>
        </w:rPr>
        <w:t>Webador</w:t>
      </w:r>
      <w:proofErr w:type="spellEnd"/>
      <w:r w:rsidRPr="00E45210">
        <w:rPr>
          <w:b/>
          <w:bCs/>
        </w:rPr>
        <w:t xml:space="preserve"> &amp; Plugins):</w:t>
      </w:r>
      <w:r w:rsidRPr="00E45210">
        <w:t> </w:t>
      </w:r>
    </w:p>
    <w:p w14:paraId="5DAB4F78" w14:textId="77777777" w:rsidR="00E45210" w:rsidRPr="00E45210" w:rsidRDefault="00E45210" w:rsidP="00E45210">
      <w:pPr>
        <w:numPr>
          <w:ilvl w:val="0"/>
          <w:numId w:val="12"/>
        </w:numPr>
      </w:pPr>
      <w:r w:rsidRPr="00E45210">
        <w:t>Website monitoring for unusual login attempts or page edits </w:t>
      </w:r>
    </w:p>
    <w:p w14:paraId="10149686" w14:textId="77777777" w:rsidR="00E45210" w:rsidRPr="00E45210" w:rsidRDefault="00E45210" w:rsidP="00E45210">
      <w:pPr>
        <w:numPr>
          <w:ilvl w:val="0"/>
          <w:numId w:val="13"/>
        </w:numPr>
      </w:pPr>
      <w:r w:rsidRPr="00E45210">
        <w:t>Alerts for sudden traffic spikes or bot activity </w:t>
      </w:r>
    </w:p>
    <w:p w14:paraId="00DF43B0" w14:textId="77777777" w:rsidR="00E45210" w:rsidRPr="00E45210" w:rsidRDefault="00E45210" w:rsidP="00E45210">
      <w:pPr>
        <w:numPr>
          <w:ilvl w:val="0"/>
          <w:numId w:val="14"/>
        </w:numPr>
      </w:pPr>
      <w:r w:rsidRPr="00E45210">
        <w:t>Regular malware and vulnerability scans (through host’s integrated security tools) </w:t>
      </w:r>
    </w:p>
    <w:p w14:paraId="10346279" w14:textId="77777777" w:rsidR="00E45210" w:rsidRPr="00E45210" w:rsidRDefault="00E45210" w:rsidP="00E45210">
      <w:r w:rsidRPr="00E45210">
        <w:rPr>
          <w:b/>
          <w:bCs/>
        </w:rPr>
        <w:t>b. Manual Monitoring:</w:t>
      </w:r>
      <w:r w:rsidRPr="00E45210">
        <w:t> </w:t>
      </w:r>
    </w:p>
    <w:p w14:paraId="44B283E4" w14:textId="77777777" w:rsidR="00E45210" w:rsidRPr="00E45210" w:rsidRDefault="00E45210" w:rsidP="00E45210">
      <w:pPr>
        <w:numPr>
          <w:ilvl w:val="0"/>
          <w:numId w:val="15"/>
        </w:numPr>
      </w:pPr>
      <w:r w:rsidRPr="00E45210">
        <w:t>Weekly checks of website pages and admin dashboards </w:t>
      </w:r>
    </w:p>
    <w:p w14:paraId="0F7A8F32" w14:textId="77777777" w:rsidR="00E45210" w:rsidRPr="00E45210" w:rsidRDefault="00E45210" w:rsidP="00E45210">
      <w:pPr>
        <w:numPr>
          <w:ilvl w:val="0"/>
          <w:numId w:val="16"/>
        </w:numPr>
      </w:pPr>
      <w:r w:rsidRPr="00E45210">
        <w:t>Reviewing website analytics for irregular activity (e.g., high bounce rates or unknown referrals) </w:t>
      </w:r>
    </w:p>
    <w:p w14:paraId="6BD4265C" w14:textId="77777777" w:rsidR="00E45210" w:rsidRPr="00E45210" w:rsidRDefault="00E45210" w:rsidP="00E45210">
      <w:pPr>
        <w:numPr>
          <w:ilvl w:val="0"/>
          <w:numId w:val="17"/>
        </w:numPr>
      </w:pPr>
      <w:r w:rsidRPr="00E45210">
        <w:t>Tracking content integrity (e.g., missing or modified videos/pages) </w:t>
      </w:r>
    </w:p>
    <w:p w14:paraId="44D09647" w14:textId="77777777" w:rsidR="00E45210" w:rsidRPr="00E45210" w:rsidRDefault="00E45210" w:rsidP="00E45210">
      <w:r w:rsidRPr="00E45210">
        <w:rPr>
          <w:b/>
          <w:bCs/>
        </w:rPr>
        <w:t>c. Reporting Mechanism:</w:t>
      </w:r>
      <w:r w:rsidRPr="00E45210">
        <w:t> </w:t>
      </w:r>
    </w:p>
    <w:p w14:paraId="1121E934" w14:textId="77777777" w:rsidR="00E45210" w:rsidRPr="00E45210" w:rsidRDefault="00E45210" w:rsidP="00E45210">
      <w:pPr>
        <w:numPr>
          <w:ilvl w:val="0"/>
          <w:numId w:val="18"/>
        </w:numPr>
      </w:pPr>
      <w:r w:rsidRPr="00E45210">
        <w:t xml:space="preserve">Visitors can report suspicious site behavior via the </w:t>
      </w:r>
      <w:r w:rsidRPr="00E45210">
        <w:rPr>
          <w:b/>
          <w:bCs/>
        </w:rPr>
        <w:t>Contact Page</w:t>
      </w:r>
      <w:r w:rsidRPr="00E45210">
        <w:t>. </w:t>
      </w:r>
    </w:p>
    <w:p w14:paraId="5CFC2756" w14:textId="77777777" w:rsidR="00E45210" w:rsidRPr="00E45210" w:rsidRDefault="00E45210" w:rsidP="00E45210">
      <w:pPr>
        <w:numPr>
          <w:ilvl w:val="0"/>
          <w:numId w:val="19"/>
        </w:numPr>
      </w:pPr>
      <w:r w:rsidRPr="00E45210">
        <w:lastRenderedPageBreak/>
        <w:t>Reports go directly to the Incident Coordinator’s designated email. </w:t>
      </w:r>
    </w:p>
    <w:p w14:paraId="507DF7F7" w14:textId="77777777" w:rsidR="00E45210" w:rsidRPr="00E45210" w:rsidRDefault="00E45210" w:rsidP="00E45210">
      <w:r w:rsidRPr="00E45210">
        <w:t> </w:t>
      </w:r>
    </w:p>
    <w:p w14:paraId="0B9EA3E3" w14:textId="77777777" w:rsidR="00E45210" w:rsidRPr="00E45210" w:rsidRDefault="00E45210" w:rsidP="00E45210">
      <w:r w:rsidRPr="00E45210">
        <w:rPr>
          <w:b/>
          <w:bCs/>
        </w:rPr>
        <w:t>5. Containment Procedures</w:t>
      </w:r>
      <w:r w:rsidRPr="00E45210">
        <w:t> </w:t>
      </w:r>
    </w:p>
    <w:p w14:paraId="6001F72E" w14:textId="77777777" w:rsidR="00E45210" w:rsidRPr="00E45210" w:rsidRDefault="00E45210" w:rsidP="00E45210">
      <w:r w:rsidRPr="00E45210">
        <w:t>If suspicious or malicious activity is detected: </w:t>
      </w:r>
    </w:p>
    <w:p w14:paraId="467496FF" w14:textId="77777777" w:rsidR="00E45210" w:rsidRPr="00E45210" w:rsidRDefault="00E45210" w:rsidP="00E45210">
      <w:pPr>
        <w:numPr>
          <w:ilvl w:val="0"/>
          <w:numId w:val="20"/>
        </w:numPr>
      </w:pPr>
      <w:r w:rsidRPr="00E45210">
        <w:rPr>
          <w:b/>
          <w:bCs/>
        </w:rPr>
        <w:t>Immediate Isolation</w:t>
      </w:r>
      <w:r w:rsidRPr="00E45210">
        <w:t> </w:t>
      </w:r>
    </w:p>
    <w:p w14:paraId="01D19513" w14:textId="77777777" w:rsidR="00E45210" w:rsidRPr="00E45210" w:rsidRDefault="00E45210" w:rsidP="00E45210">
      <w:pPr>
        <w:numPr>
          <w:ilvl w:val="0"/>
          <w:numId w:val="21"/>
        </w:numPr>
      </w:pPr>
      <w:r w:rsidRPr="00E45210">
        <w:t xml:space="preserve">Disable affected pages or forms through the </w:t>
      </w:r>
      <w:proofErr w:type="spellStart"/>
      <w:r w:rsidRPr="00E45210">
        <w:t>Webador</w:t>
      </w:r>
      <w:proofErr w:type="spellEnd"/>
      <w:r w:rsidRPr="00E45210">
        <w:t xml:space="preserve"> dashboard. </w:t>
      </w:r>
    </w:p>
    <w:p w14:paraId="6050A49C" w14:textId="77777777" w:rsidR="00E45210" w:rsidRPr="00E45210" w:rsidRDefault="00E45210" w:rsidP="00E45210">
      <w:pPr>
        <w:numPr>
          <w:ilvl w:val="0"/>
          <w:numId w:val="22"/>
        </w:numPr>
      </w:pPr>
      <w:r w:rsidRPr="00E45210">
        <w:t>Temporarily restrict administrative access. </w:t>
      </w:r>
    </w:p>
    <w:p w14:paraId="10C7E30C" w14:textId="77777777" w:rsidR="00E45210" w:rsidRPr="00E45210" w:rsidRDefault="00E45210" w:rsidP="00E45210">
      <w:pPr>
        <w:numPr>
          <w:ilvl w:val="0"/>
          <w:numId w:val="23"/>
        </w:numPr>
      </w:pPr>
      <w:r w:rsidRPr="00E45210">
        <w:rPr>
          <w:b/>
          <w:bCs/>
        </w:rPr>
        <w:t>Change Access Credentials</w:t>
      </w:r>
      <w:r w:rsidRPr="00E45210">
        <w:t> </w:t>
      </w:r>
    </w:p>
    <w:p w14:paraId="5F5DFCD4" w14:textId="77777777" w:rsidR="00E45210" w:rsidRPr="00E45210" w:rsidRDefault="00E45210" w:rsidP="00E45210">
      <w:pPr>
        <w:numPr>
          <w:ilvl w:val="0"/>
          <w:numId w:val="24"/>
        </w:numPr>
      </w:pPr>
      <w:r w:rsidRPr="00E45210">
        <w:t>Reset all administrator and editor passwords. </w:t>
      </w:r>
    </w:p>
    <w:p w14:paraId="33B93712" w14:textId="77777777" w:rsidR="00E45210" w:rsidRPr="00E45210" w:rsidRDefault="00E45210" w:rsidP="00E45210">
      <w:pPr>
        <w:numPr>
          <w:ilvl w:val="0"/>
          <w:numId w:val="25"/>
        </w:numPr>
      </w:pPr>
      <w:r w:rsidRPr="00E45210">
        <w:t>Enforce strong password regeneration using multi-factor authentication where available. </w:t>
      </w:r>
    </w:p>
    <w:p w14:paraId="63827026" w14:textId="77777777" w:rsidR="00E45210" w:rsidRPr="00E45210" w:rsidRDefault="00E45210" w:rsidP="00E45210">
      <w:pPr>
        <w:numPr>
          <w:ilvl w:val="0"/>
          <w:numId w:val="26"/>
        </w:numPr>
      </w:pPr>
      <w:r w:rsidRPr="00E45210">
        <w:rPr>
          <w:b/>
          <w:bCs/>
        </w:rPr>
        <w:t>Suspend External Integrations</w:t>
      </w:r>
      <w:r w:rsidRPr="00E45210">
        <w:t> </w:t>
      </w:r>
    </w:p>
    <w:p w14:paraId="1E154E01" w14:textId="77777777" w:rsidR="00E45210" w:rsidRPr="00E45210" w:rsidRDefault="00E45210" w:rsidP="00E45210">
      <w:pPr>
        <w:numPr>
          <w:ilvl w:val="0"/>
          <w:numId w:val="27"/>
        </w:numPr>
      </w:pPr>
      <w:r w:rsidRPr="00E45210">
        <w:t>Temporarily disconnect analytics tools, plug-ins, or third-party widgets until verified safe. </w:t>
      </w:r>
    </w:p>
    <w:p w14:paraId="325E3AEE" w14:textId="77777777" w:rsidR="00E45210" w:rsidRPr="00E45210" w:rsidRDefault="00E45210" w:rsidP="00E45210">
      <w:pPr>
        <w:numPr>
          <w:ilvl w:val="0"/>
          <w:numId w:val="28"/>
        </w:numPr>
      </w:pPr>
      <w:r w:rsidRPr="00E45210">
        <w:rPr>
          <w:b/>
          <w:bCs/>
        </w:rPr>
        <w:t>Secure Backups</w:t>
      </w:r>
      <w:r w:rsidRPr="00E45210">
        <w:t> </w:t>
      </w:r>
    </w:p>
    <w:p w14:paraId="640789A3" w14:textId="77777777" w:rsidR="00E45210" w:rsidRPr="00E45210" w:rsidRDefault="00E45210" w:rsidP="00E45210">
      <w:pPr>
        <w:numPr>
          <w:ilvl w:val="0"/>
          <w:numId w:val="29"/>
        </w:numPr>
      </w:pPr>
      <w:r w:rsidRPr="00E45210">
        <w:t xml:space="preserve">Restore the most recent </w:t>
      </w:r>
      <w:r w:rsidRPr="00E45210">
        <w:rPr>
          <w:b/>
          <w:bCs/>
        </w:rPr>
        <w:t>clean backup</w:t>
      </w:r>
      <w:r w:rsidRPr="00E45210">
        <w:t xml:space="preserve"> of the website if compromise is confirmed. </w:t>
      </w:r>
    </w:p>
    <w:p w14:paraId="10380F81" w14:textId="77777777" w:rsidR="00E45210" w:rsidRPr="00E45210" w:rsidRDefault="00E45210" w:rsidP="00E45210">
      <w:r w:rsidRPr="00E45210">
        <w:t> </w:t>
      </w:r>
    </w:p>
    <w:p w14:paraId="51B780CF" w14:textId="77777777" w:rsidR="00E45210" w:rsidRPr="00E45210" w:rsidRDefault="00E45210" w:rsidP="00E45210">
      <w:r w:rsidRPr="00E45210">
        <w:rPr>
          <w:b/>
          <w:bCs/>
        </w:rPr>
        <w:t>6. Response Procedures</w:t>
      </w:r>
      <w:r w:rsidRPr="00E45210">
        <w:t> </w:t>
      </w:r>
    </w:p>
    <w:p w14:paraId="07D560D7" w14:textId="77777777" w:rsidR="00E45210" w:rsidRPr="00E45210" w:rsidRDefault="00E45210" w:rsidP="00E45210">
      <w:r w:rsidRPr="00E45210">
        <w:rPr>
          <w:b/>
          <w:bCs/>
        </w:rPr>
        <w:t>Step 1: Verification</w:t>
      </w:r>
      <w:r w:rsidRPr="00E45210">
        <w:t> </w:t>
      </w:r>
    </w:p>
    <w:p w14:paraId="1FF0D134" w14:textId="77777777" w:rsidR="00E45210" w:rsidRPr="00E45210" w:rsidRDefault="00E45210" w:rsidP="00E45210">
      <w:pPr>
        <w:numPr>
          <w:ilvl w:val="0"/>
          <w:numId w:val="30"/>
        </w:numPr>
      </w:pPr>
      <w:r w:rsidRPr="00E45210">
        <w:t>Confirm the nature of the breach (malware, unauthorized access, data exposure, etc.). </w:t>
      </w:r>
    </w:p>
    <w:p w14:paraId="74967B19" w14:textId="77777777" w:rsidR="00E45210" w:rsidRPr="00E45210" w:rsidRDefault="00E45210" w:rsidP="00E45210">
      <w:pPr>
        <w:numPr>
          <w:ilvl w:val="0"/>
          <w:numId w:val="31"/>
        </w:numPr>
      </w:pPr>
      <w:r w:rsidRPr="00E45210">
        <w:t>Check website logs, timestamps, and affected assets. </w:t>
      </w:r>
    </w:p>
    <w:p w14:paraId="4BFD6BA9" w14:textId="77777777" w:rsidR="00E45210" w:rsidRPr="00E45210" w:rsidRDefault="00E45210" w:rsidP="00E45210">
      <w:r w:rsidRPr="00E45210">
        <w:rPr>
          <w:b/>
          <w:bCs/>
        </w:rPr>
        <w:t>Step 2: Notification &amp; Communication</w:t>
      </w:r>
      <w:r w:rsidRPr="00E45210">
        <w:t> </w:t>
      </w:r>
    </w:p>
    <w:p w14:paraId="54181CB8" w14:textId="77777777" w:rsidR="00E45210" w:rsidRPr="00E45210" w:rsidRDefault="00E45210" w:rsidP="00E45210">
      <w:pPr>
        <w:numPr>
          <w:ilvl w:val="0"/>
          <w:numId w:val="32"/>
        </w:numPr>
      </w:pPr>
      <w:r w:rsidRPr="00E45210">
        <w:t>Notify all team members immediately. </w:t>
      </w:r>
    </w:p>
    <w:p w14:paraId="3C128F05" w14:textId="77777777" w:rsidR="00E45210" w:rsidRPr="00E45210" w:rsidRDefault="00E45210" w:rsidP="00E45210">
      <w:pPr>
        <w:numPr>
          <w:ilvl w:val="0"/>
          <w:numId w:val="33"/>
        </w:numPr>
      </w:pPr>
      <w:r w:rsidRPr="00E45210">
        <w:t xml:space="preserve">Contact </w:t>
      </w:r>
      <w:proofErr w:type="spellStart"/>
      <w:r w:rsidRPr="00E45210">
        <w:t>Webador</w:t>
      </w:r>
      <w:proofErr w:type="spellEnd"/>
      <w:r w:rsidRPr="00E45210">
        <w:t xml:space="preserve"> Support to confirm hosting-level impact. </w:t>
      </w:r>
    </w:p>
    <w:p w14:paraId="2F0573EE" w14:textId="77777777" w:rsidR="00E45210" w:rsidRPr="00E45210" w:rsidRDefault="00E45210" w:rsidP="00E45210">
      <w:pPr>
        <w:numPr>
          <w:ilvl w:val="0"/>
          <w:numId w:val="34"/>
        </w:numPr>
      </w:pPr>
      <w:r w:rsidRPr="00E45210">
        <w:t>If user data is affected, notify impacted users transparently within 72 hours. </w:t>
      </w:r>
    </w:p>
    <w:p w14:paraId="7F3D4561" w14:textId="77777777" w:rsidR="00E45210" w:rsidRPr="00E45210" w:rsidRDefault="00E45210" w:rsidP="00E45210">
      <w:pPr>
        <w:numPr>
          <w:ilvl w:val="0"/>
          <w:numId w:val="35"/>
        </w:numPr>
      </w:pPr>
      <w:r w:rsidRPr="00E45210">
        <w:lastRenderedPageBreak/>
        <w:t>If the breach involves sensitive information (even limited contact form data), issue a public notice on the website’s homepage. </w:t>
      </w:r>
    </w:p>
    <w:p w14:paraId="6C9B84DC" w14:textId="77777777" w:rsidR="00E45210" w:rsidRPr="00E45210" w:rsidRDefault="00E45210" w:rsidP="00E45210">
      <w:r w:rsidRPr="00E45210">
        <w:rPr>
          <w:b/>
          <w:bCs/>
        </w:rPr>
        <w:t>Step 3: Eradication</w:t>
      </w:r>
      <w:r w:rsidRPr="00E45210">
        <w:t> </w:t>
      </w:r>
    </w:p>
    <w:p w14:paraId="2544D80C" w14:textId="77777777" w:rsidR="00E45210" w:rsidRPr="00E45210" w:rsidRDefault="00E45210" w:rsidP="00E45210">
      <w:pPr>
        <w:numPr>
          <w:ilvl w:val="0"/>
          <w:numId w:val="36"/>
        </w:numPr>
      </w:pPr>
      <w:r w:rsidRPr="00E45210">
        <w:t>Remove malicious files or scripts. </w:t>
      </w:r>
    </w:p>
    <w:p w14:paraId="5D20FC08" w14:textId="77777777" w:rsidR="00E45210" w:rsidRPr="00E45210" w:rsidRDefault="00E45210" w:rsidP="00E45210">
      <w:pPr>
        <w:numPr>
          <w:ilvl w:val="0"/>
          <w:numId w:val="37"/>
        </w:numPr>
      </w:pPr>
      <w:r w:rsidRPr="00E45210">
        <w:t>Patch vulnerabilities and apply system updates. </w:t>
      </w:r>
    </w:p>
    <w:p w14:paraId="5571972C" w14:textId="77777777" w:rsidR="00E45210" w:rsidRPr="00E45210" w:rsidRDefault="00E45210" w:rsidP="00E45210">
      <w:pPr>
        <w:numPr>
          <w:ilvl w:val="0"/>
          <w:numId w:val="38"/>
        </w:numPr>
      </w:pPr>
      <w:r w:rsidRPr="00E45210">
        <w:t>Replace compromised credentials and test system integrity. </w:t>
      </w:r>
    </w:p>
    <w:p w14:paraId="01C14BC7" w14:textId="77777777" w:rsidR="00E45210" w:rsidRPr="00E45210" w:rsidRDefault="00E45210" w:rsidP="00E45210">
      <w:r w:rsidRPr="00E45210">
        <w:rPr>
          <w:b/>
          <w:bCs/>
        </w:rPr>
        <w:t>Step 4: Recovery</w:t>
      </w:r>
      <w:r w:rsidRPr="00E45210">
        <w:t> </w:t>
      </w:r>
    </w:p>
    <w:p w14:paraId="6F84CE22" w14:textId="77777777" w:rsidR="00E45210" w:rsidRPr="00E45210" w:rsidRDefault="00E45210" w:rsidP="00E45210">
      <w:pPr>
        <w:numPr>
          <w:ilvl w:val="0"/>
          <w:numId w:val="39"/>
        </w:numPr>
      </w:pPr>
      <w:r w:rsidRPr="00E45210">
        <w:t>Restore website from the latest secure backup. </w:t>
      </w:r>
    </w:p>
    <w:p w14:paraId="54E4DB13" w14:textId="77777777" w:rsidR="00E45210" w:rsidRPr="00E45210" w:rsidRDefault="00E45210" w:rsidP="00E45210">
      <w:pPr>
        <w:numPr>
          <w:ilvl w:val="0"/>
          <w:numId w:val="40"/>
        </w:numPr>
      </w:pPr>
      <w:r w:rsidRPr="00E45210">
        <w:t>Validate that all educational videos, pages, and privacy policies are intact. </w:t>
      </w:r>
    </w:p>
    <w:p w14:paraId="6AB547E2" w14:textId="77777777" w:rsidR="00E45210" w:rsidRPr="00E45210" w:rsidRDefault="00E45210" w:rsidP="00E45210">
      <w:pPr>
        <w:numPr>
          <w:ilvl w:val="0"/>
          <w:numId w:val="41"/>
        </w:numPr>
      </w:pPr>
      <w:r w:rsidRPr="00E45210">
        <w:t>Test all pages and links for functionality and safety. </w:t>
      </w:r>
    </w:p>
    <w:p w14:paraId="47939D17" w14:textId="77777777" w:rsidR="00E45210" w:rsidRPr="00E45210" w:rsidRDefault="00E45210" w:rsidP="00E45210">
      <w:r w:rsidRPr="00E45210">
        <w:rPr>
          <w:b/>
          <w:bCs/>
        </w:rPr>
        <w:t>Step 5: Documentation</w:t>
      </w:r>
      <w:r w:rsidRPr="00E45210">
        <w:t> </w:t>
      </w:r>
    </w:p>
    <w:p w14:paraId="04FE5C18" w14:textId="77777777" w:rsidR="00E45210" w:rsidRPr="00E45210" w:rsidRDefault="00E45210" w:rsidP="00E45210">
      <w:pPr>
        <w:numPr>
          <w:ilvl w:val="0"/>
          <w:numId w:val="42"/>
        </w:numPr>
      </w:pPr>
      <w:proofErr w:type="gramStart"/>
      <w:r w:rsidRPr="00E45210">
        <w:t>Create</w:t>
      </w:r>
      <w:proofErr w:type="gramEnd"/>
      <w:r w:rsidRPr="00E45210">
        <w:t xml:space="preserve"> an </w:t>
      </w:r>
      <w:r w:rsidRPr="00E45210">
        <w:rPr>
          <w:b/>
          <w:bCs/>
        </w:rPr>
        <w:t>Incident Report</w:t>
      </w:r>
      <w:r w:rsidRPr="00E45210">
        <w:t xml:space="preserve"> summarizing: </w:t>
      </w:r>
    </w:p>
    <w:p w14:paraId="2D1FA4F0" w14:textId="77777777" w:rsidR="00E45210" w:rsidRPr="00E45210" w:rsidRDefault="00E45210" w:rsidP="00E45210">
      <w:pPr>
        <w:numPr>
          <w:ilvl w:val="0"/>
          <w:numId w:val="43"/>
        </w:numPr>
      </w:pPr>
      <w:r w:rsidRPr="00E45210">
        <w:t>What happened </w:t>
      </w:r>
    </w:p>
    <w:p w14:paraId="32076913" w14:textId="77777777" w:rsidR="00E45210" w:rsidRPr="00E45210" w:rsidRDefault="00E45210" w:rsidP="00E45210">
      <w:pPr>
        <w:numPr>
          <w:ilvl w:val="0"/>
          <w:numId w:val="44"/>
        </w:numPr>
      </w:pPr>
      <w:r w:rsidRPr="00E45210">
        <w:t>When and how it was detected </w:t>
      </w:r>
    </w:p>
    <w:p w14:paraId="6156C83B" w14:textId="77777777" w:rsidR="00E45210" w:rsidRPr="00E45210" w:rsidRDefault="00E45210" w:rsidP="00E45210">
      <w:pPr>
        <w:numPr>
          <w:ilvl w:val="0"/>
          <w:numId w:val="45"/>
        </w:numPr>
      </w:pPr>
      <w:r w:rsidRPr="00E45210">
        <w:t>Actions taken </w:t>
      </w:r>
    </w:p>
    <w:p w14:paraId="594C6077" w14:textId="77777777" w:rsidR="00E45210" w:rsidRPr="00E45210" w:rsidRDefault="00E45210" w:rsidP="00E45210">
      <w:pPr>
        <w:numPr>
          <w:ilvl w:val="0"/>
          <w:numId w:val="46"/>
        </w:numPr>
      </w:pPr>
      <w:r w:rsidRPr="00E45210">
        <w:t>Systems and data affected </w:t>
      </w:r>
    </w:p>
    <w:p w14:paraId="621D97AF" w14:textId="77777777" w:rsidR="00E45210" w:rsidRPr="00E45210" w:rsidRDefault="00E45210" w:rsidP="00E45210">
      <w:pPr>
        <w:numPr>
          <w:ilvl w:val="0"/>
          <w:numId w:val="47"/>
        </w:numPr>
      </w:pPr>
      <w:r w:rsidRPr="00E45210">
        <w:t>Lessons learned </w:t>
      </w:r>
    </w:p>
    <w:p w14:paraId="24510857" w14:textId="77777777" w:rsidR="00E45210" w:rsidRPr="00E45210" w:rsidRDefault="00E45210" w:rsidP="00E45210">
      <w:r w:rsidRPr="00E45210">
        <w:rPr>
          <w:b/>
          <w:bCs/>
        </w:rPr>
        <w:t>7. Post-Incident Review</w:t>
      </w:r>
      <w:r w:rsidRPr="00E45210">
        <w:t> </w:t>
      </w:r>
    </w:p>
    <w:p w14:paraId="53B9BD6F" w14:textId="77777777" w:rsidR="00E45210" w:rsidRPr="00E45210" w:rsidRDefault="00E45210" w:rsidP="00E45210">
      <w:r w:rsidRPr="00E45210">
        <w:t>After the incident is resolved: </w:t>
      </w:r>
    </w:p>
    <w:p w14:paraId="17A51E46" w14:textId="77777777" w:rsidR="00E45210" w:rsidRPr="00E45210" w:rsidRDefault="00E45210" w:rsidP="00E45210">
      <w:pPr>
        <w:numPr>
          <w:ilvl w:val="0"/>
          <w:numId w:val="48"/>
        </w:numPr>
      </w:pPr>
      <w:r w:rsidRPr="00E45210">
        <w:t xml:space="preserve">Conduct a </w:t>
      </w:r>
      <w:r w:rsidRPr="00E45210">
        <w:rPr>
          <w:b/>
          <w:bCs/>
        </w:rPr>
        <w:t>team debrief meeting</w:t>
      </w:r>
      <w:r w:rsidRPr="00E45210">
        <w:t xml:space="preserve"> to evaluate the response process. </w:t>
      </w:r>
    </w:p>
    <w:p w14:paraId="348719D4" w14:textId="77777777" w:rsidR="00E45210" w:rsidRPr="00E45210" w:rsidRDefault="00E45210" w:rsidP="00E45210">
      <w:pPr>
        <w:numPr>
          <w:ilvl w:val="0"/>
          <w:numId w:val="49"/>
        </w:numPr>
      </w:pPr>
      <w:r w:rsidRPr="00E45210">
        <w:t>Identify areas for improvement (e.g., stronger passwords, quicker detection). </w:t>
      </w:r>
    </w:p>
    <w:p w14:paraId="3DF6AEE9" w14:textId="77777777" w:rsidR="00E45210" w:rsidRPr="00E45210" w:rsidRDefault="00E45210" w:rsidP="00E45210">
      <w:pPr>
        <w:numPr>
          <w:ilvl w:val="0"/>
          <w:numId w:val="50"/>
        </w:numPr>
      </w:pPr>
      <w:r w:rsidRPr="00E45210">
        <w:t>Update this Security Response Plan and Privacy Policy if needed. </w:t>
      </w:r>
    </w:p>
    <w:p w14:paraId="3BA0F2C4" w14:textId="77777777" w:rsidR="00E45210" w:rsidRPr="00E45210" w:rsidRDefault="00E45210" w:rsidP="00E45210">
      <w:pPr>
        <w:numPr>
          <w:ilvl w:val="0"/>
          <w:numId w:val="51"/>
        </w:numPr>
      </w:pPr>
      <w:r w:rsidRPr="00E45210">
        <w:t>Schedule quarterly reviews of all website security settings. </w:t>
      </w:r>
    </w:p>
    <w:p w14:paraId="288E260B" w14:textId="77777777" w:rsidR="00E45210" w:rsidRPr="00E45210" w:rsidRDefault="00E45210" w:rsidP="00E45210">
      <w:r w:rsidRPr="00E45210">
        <w:rPr>
          <w:b/>
          <w:bCs/>
        </w:rPr>
        <w:t>8. Preventive Measures</w:t>
      </w:r>
      <w:r w:rsidRPr="00E45210">
        <w:t> </w:t>
      </w:r>
    </w:p>
    <w:p w14:paraId="7056297E" w14:textId="77777777" w:rsidR="00E45210" w:rsidRPr="00E45210" w:rsidRDefault="00E45210" w:rsidP="00E45210">
      <w:proofErr w:type="spellStart"/>
      <w:r w:rsidRPr="00E45210">
        <w:t>CyberSafe</w:t>
      </w:r>
      <w:proofErr w:type="spellEnd"/>
      <w:r w:rsidRPr="00E45210">
        <w:t xml:space="preserve"> will take proactive steps to reduce the chance of future breaches: </w:t>
      </w:r>
    </w:p>
    <w:p w14:paraId="3482BB23" w14:textId="77777777" w:rsidR="00E45210" w:rsidRPr="00E45210" w:rsidRDefault="00E45210" w:rsidP="00E45210">
      <w:pPr>
        <w:numPr>
          <w:ilvl w:val="0"/>
          <w:numId w:val="52"/>
        </w:numPr>
      </w:pPr>
      <w:r w:rsidRPr="00E45210">
        <w:t xml:space="preserve">Enable HTTPS and SSL encryption (default on </w:t>
      </w:r>
      <w:proofErr w:type="spellStart"/>
      <w:r w:rsidRPr="00E45210">
        <w:t>Webador</w:t>
      </w:r>
      <w:proofErr w:type="spellEnd"/>
      <w:r w:rsidRPr="00E45210">
        <w:t>) </w:t>
      </w:r>
    </w:p>
    <w:p w14:paraId="16520B01" w14:textId="77777777" w:rsidR="00E45210" w:rsidRPr="00E45210" w:rsidRDefault="00E45210" w:rsidP="00E45210">
      <w:pPr>
        <w:numPr>
          <w:ilvl w:val="0"/>
          <w:numId w:val="53"/>
        </w:numPr>
      </w:pPr>
      <w:r w:rsidRPr="00E45210">
        <w:lastRenderedPageBreak/>
        <w:t>Use strong admin passwords (12+ characters, mixed types) </w:t>
      </w:r>
    </w:p>
    <w:p w14:paraId="647CDE4F" w14:textId="77777777" w:rsidR="00E45210" w:rsidRPr="00E45210" w:rsidRDefault="00E45210" w:rsidP="00E45210">
      <w:pPr>
        <w:numPr>
          <w:ilvl w:val="0"/>
          <w:numId w:val="54"/>
        </w:numPr>
      </w:pPr>
      <w:r w:rsidRPr="00E45210">
        <w:t>Restrict admin access to verified team members only </w:t>
      </w:r>
    </w:p>
    <w:p w14:paraId="25695857" w14:textId="77777777" w:rsidR="00E45210" w:rsidRPr="00E45210" w:rsidRDefault="00E45210" w:rsidP="00E45210">
      <w:pPr>
        <w:numPr>
          <w:ilvl w:val="0"/>
          <w:numId w:val="55"/>
        </w:numPr>
      </w:pPr>
      <w:r w:rsidRPr="00E45210">
        <w:t>Run monthly vulnerability scans and plugin updates </w:t>
      </w:r>
    </w:p>
    <w:p w14:paraId="556EBAB3" w14:textId="77777777" w:rsidR="00E45210" w:rsidRPr="00E45210" w:rsidRDefault="00E45210" w:rsidP="00E45210">
      <w:pPr>
        <w:numPr>
          <w:ilvl w:val="0"/>
          <w:numId w:val="56"/>
        </w:numPr>
      </w:pPr>
      <w:r w:rsidRPr="00E45210">
        <w:t>Store minimal user data (contact form only, no sensitive info) </w:t>
      </w:r>
    </w:p>
    <w:p w14:paraId="13FD4E9B" w14:textId="77777777" w:rsidR="00E45210" w:rsidRPr="00E45210" w:rsidRDefault="00E45210" w:rsidP="00E45210">
      <w:pPr>
        <w:numPr>
          <w:ilvl w:val="0"/>
          <w:numId w:val="57"/>
        </w:numPr>
      </w:pPr>
      <w:r w:rsidRPr="00E45210">
        <w:t>Maintain offline backups of website content monthly </w:t>
      </w:r>
    </w:p>
    <w:p w14:paraId="77BD4129" w14:textId="77777777" w:rsidR="00E45210" w:rsidRPr="00E45210" w:rsidRDefault="00E45210" w:rsidP="00E45210">
      <w:r w:rsidRPr="00E45210">
        <w:rPr>
          <w:b/>
          <w:bCs/>
        </w:rPr>
        <w:t>9. Communication Plan</w:t>
      </w:r>
      <w:r w:rsidRPr="00E45210"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105"/>
        <w:gridCol w:w="3630"/>
      </w:tblGrid>
      <w:tr w:rsidR="00E45210" w:rsidRPr="00E45210" w14:paraId="44077CC6" w14:textId="77777777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AC38" w14:textId="77777777" w:rsidR="00E45210" w:rsidRPr="00E45210" w:rsidRDefault="00E45210" w:rsidP="00E45210">
            <w:r w:rsidRPr="00E45210">
              <w:rPr>
                <w:b/>
                <w:bCs/>
              </w:rPr>
              <w:t>Audience</w:t>
            </w:r>
            <w:r w:rsidRPr="00E45210"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0B099" w14:textId="77777777" w:rsidR="00E45210" w:rsidRPr="00E45210" w:rsidRDefault="00E45210" w:rsidP="00E45210">
            <w:r w:rsidRPr="00E45210">
              <w:rPr>
                <w:b/>
                <w:bCs/>
              </w:rPr>
              <w:t>Method</w:t>
            </w:r>
            <w:r w:rsidRPr="00E45210"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7F4C" w14:textId="77777777" w:rsidR="00E45210" w:rsidRPr="00E45210" w:rsidRDefault="00E45210" w:rsidP="00E45210">
            <w:r w:rsidRPr="00E45210">
              <w:rPr>
                <w:b/>
                <w:bCs/>
              </w:rPr>
              <w:t>Timing</w:t>
            </w:r>
            <w:r w:rsidRPr="00E45210">
              <w:t> </w:t>
            </w:r>
          </w:p>
        </w:tc>
      </w:tr>
      <w:tr w:rsidR="00E45210" w:rsidRPr="00E45210" w14:paraId="74224216" w14:textId="77777777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A8807" w14:textId="77777777" w:rsidR="00E45210" w:rsidRPr="00E45210" w:rsidRDefault="00E45210" w:rsidP="00E45210">
            <w:r w:rsidRPr="00E45210">
              <w:t>Internal Team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1550D" w14:textId="77777777" w:rsidR="00E45210" w:rsidRPr="00E45210" w:rsidRDefault="00E45210" w:rsidP="00E45210">
            <w:r w:rsidRPr="00E45210">
              <w:t>Group message/email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ABC4" w14:textId="77777777" w:rsidR="00E45210" w:rsidRPr="00E45210" w:rsidRDefault="00E45210" w:rsidP="00E45210">
            <w:r w:rsidRPr="00E45210">
              <w:t>Immediately upon detection </w:t>
            </w:r>
          </w:p>
        </w:tc>
      </w:tr>
      <w:tr w:rsidR="00E45210" w:rsidRPr="00E45210" w14:paraId="28DA8774" w14:textId="77777777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358F" w14:textId="77777777" w:rsidR="00E45210" w:rsidRPr="00E45210" w:rsidRDefault="00E45210" w:rsidP="00E45210">
            <w:proofErr w:type="spellStart"/>
            <w:r w:rsidRPr="00E45210">
              <w:t>Webador</w:t>
            </w:r>
            <w:proofErr w:type="spellEnd"/>
            <w:r w:rsidRPr="00E45210">
              <w:t xml:space="preserve"> Support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9AA0" w14:textId="77777777" w:rsidR="00E45210" w:rsidRPr="00E45210" w:rsidRDefault="00E45210" w:rsidP="00E45210">
            <w:r w:rsidRPr="00E45210">
              <w:t>Ticket or chat support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A047" w14:textId="77777777" w:rsidR="00E45210" w:rsidRPr="00E45210" w:rsidRDefault="00E45210" w:rsidP="00E45210">
            <w:r w:rsidRPr="00E45210">
              <w:t>Within 30 minutes of confirmation </w:t>
            </w:r>
          </w:p>
        </w:tc>
      </w:tr>
      <w:tr w:rsidR="00E45210" w:rsidRPr="00E45210" w14:paraId="7B8228BB" w14:textId="77777777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47CD" w14:textId="77777777" w:rsidR="00E45210" w:rsidRPr="00E45210" w:rsidRDefault="00E45210" w:rsidP="00E45210">
            <w:r w:rsidRPr="00E45210">
              <w:t>Affected Users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E7B70" w14:textId="77777777" w:rsidR="00E45210" w:rsidRPr="00E45210" w:rsidRDefault="00E45210" w:rsidP="00E45210">
            <w:r w:rsidRPr="00E45210">
              <w:t>Email or website notice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223BF" w14:textId="77777777" w:rsidR="00E45210" w:rsidRPr="00E45210" w:rsidRDefault="00E45210" w:rsidP="00E45210">
            <w:r w:rsidRPr="00E45210">
              <w:t>Within 72 hours if applicable </w:t>
            </w:r>
          </w:p>
        </w:tc>
      </w:tr>
      <w:tr w:rsidR="00E45210" w:rsidRPr="00E45210" w14:paraId="30FDB715" w14:textId="77777777">
        <w:trPr>
          <w:trHeight w:val="3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7FAD" w14:textId="77777777" w:rsidR="00E45210" w:rsidRPr="00E45210" w:rsidRDefault="00E45210" w:rsidP="00E45210">
            <w:r w:rsidRPr="00E45210">
              <w:t>Public (if large-scale) 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DF7E" w14:textId="77777777" w:rsidR="00E45210" w:rsidRPr="00E45210" w:rsidRDefault="00E45210" w:rsidP="00E45210">
            <w:r w:rsidRPr="00E45210">
              <w:t>Brief statement on homepage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E833" w14:textId="77777777" w:rsidR="00E45210" w:rsidRPr="00E45210" w:rsidRDefault="00E45210" w:rsidP="00E45210">
            <w:r w:rsidRPr="00E45210">
              <w:t>After containment </w:t>
            </w:r>
          </w:p>
        </w:tc>
      </w:tr>
    </w:tbl>
    <w:p w14:paraId="10657035" w14:textId="77777777" w:rsidR="00E45210" w:rsidRPr="00E45210" w:rsidRDefault="00E45210" w:rsidP="00E45210">
      <w:r w:rsidRPr="00E45210">
        <w:t> </w:t>
      </w:r>
    </w:p>
    <w:p w14:paraId="1E8E50FC" w14:textId="77777777" w:rsidR="00E45210" w:rsidRPr="00E45210" w:rsidRDefault="00E45210" w:rsidP="00E45210">
      <w:r w:rsidRPr="00E45210">
        <w:rPr>
          <w:b/>
          <w:bCs/>
        </w:rPr>
        <w:t>10. Review Schedule</w:t>
      </w:r>
      <w:r w:rsidRPr="00E45210">
        <w:t> </w:t>
      </w:r>
    </w:p>
    <w:p w14:paraId="54C5A212" w14:textId="77777777" w:rsidR="00E45210" w:rsidRPr="00E45210" w:rsidRDefault="00E45210" w:rsidP="00E45210">
      <w:pPr>
        <w:numPr>
          <w:ilvl w:val="0"/>
          <w:numId w:val="58"/>
        </w:numPr>
      </w:pPr>
      <w:r w:rsidRPr="00E45210">
        <w:rPr>
          <w:b/>
          <w:bCs/>
        </w:rPr>
        <w:t>Plan Review Frequency:</w:t>
      </w:r>
      <w:r w:rsidRPr="00E45210">
        <w:t xml:space="preserve"> Every 6 months or after any major incident. </w:t>
      </w:r>
    </w:p>
    <w:p w14:paraId="3CE7742A" w14:textId="77777777" w:rsidR="00E45210" w:rsidRPr="00E45210" w:rsidRDefault="00E45210" w:rsidP="00E45210">
      <w:pPr>
        <w:numPr>
          <w:ilvl w:val="0"/>
          <w:numId w:val="59"/>
        </w:numPr>
      </w:pPr>
      <w:r w:rsidRPr="00E45210">
        <w:rPr>
          <w:b/>
          <w:bCs/>
        </w:rPr>
        <w:t>Next Review Date:</w:t>
      </w:r>
      <w:r w:rsidRPr="00E45210">
        <w:t xml:space="preserve"> 6 months from website launch. </w:t>
      </w:r>
    </w:p>
    <w:p w14:paraId="1660511E" w14:textId="77777777" w:rsidR="00E45210" w:rsidRPr="00E45210" w:rsidRDefault="00E45210" w:rsidP="00E45210">
      <w:pPr>
        <w:numPr>
          <w:ilvl w:val="0"/>
          <w:numId w:val="60"/>
        </w:numPr>
      </w:pPr>
      <w:r w:rsidRPr="00E45210">
        <w:rPr>
          <w:b/>
          <w:bCs/>
        </w:rPr>
        <w:t>Responsible Party:</w:t>
      </w:r>
      <w:r w:rsidRPr="00E45210">
        <w:t xml:space="preserve"> Trinity Dubbs (Incident Coordinator). </w:t>
      </w:r>
    </w:p>
    <w:p w14:paraId="622D2AB3" w14:textId="77777777" w:rsidR="00D95A78" w:rsidRDefault="00D95A78"/>
    <w:sectPr w:rsidR="00D9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C80"/>
    <w:multiLevelType w:val="multilevel"/>
    <w:tmpl w:val="9C9C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56452"/>
    <w:multiLevelType w:val="multilevel"/>
    <w:tmpl w:val="E422A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3E787C"/>
    <w:multiLevelType w:val="multilevel"/>
    <w:tmpl w:val="175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3682"/>
    <w:multiLevelType w:val="multilevel"/>
    <w:tmpl w:val="9C6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A2FCD"/>
    <w:multiLevelType w:val="multilevel"/>
    <w:tmpl w:val="F2C0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A1C5F"/>
    <w:multiLevelType w:val="multilevel"/>
    <w:tmpl w:val="27BA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94F6B"/>
    <w:multiLevelType w:val="multilevel"/>
    <w:tmpl w:val="EB4EB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A4FD0"/>
    <w:multiLevelType w:val="multilevel"/>
    <w:tmpl w:val="4CC0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417A88"/>
    <w:multiLevelType w:val="multilevel"/>
    <w:tmpl w:val="02C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10F2D"/>
    <w:multiLevelType w:val="multilevel"/>
    <w:tmpl w:val="CE7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2C09C1"/>
    <w:multiLevelType w:val="multilevel"/>
    <w:tmpl w:val="D8A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2463C5"/>
    <w:multiLevelType w:val="multilevel"/>
    <w:tmpl w:val="AD482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E6109B5"/>
    <w:multiLevelType w:val="multilevel"/>
    <w:tmpl w:val="28C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F3148"/>
    <w:multiLevelType w:val="multilevel"/>
    <w:tmpl w:val="9BACA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A7257"/>
    <w:multiLevelType w:val="multilevel"/>
    <w:tmpl w:val="78D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04D21"/>
    <w:multiLevelType w:val="multilevel"/>
    <w:tmpl w:val="812C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071B05"/>
    <w:multiLevelType w:val="multilevel"/>
    <w:tmpl w:val="7F1A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1277F"/>
    <w:multiLevelType w:val="multilevel"/>
    <w:tmpl w:val="FAB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D4D6E"/>
    <w:multiLevelType w:val="multilevel"/>
    <w:tmpl w:val="60E6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427C96"/>
    <w:multiLevelType w:val="multilevel"/>
    <w:tmpl w:val="D1E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0168AA"/>
    <w:multiLevelType w:val="multilevel"/>
    <w:tmpl w:val="20329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63A83"/>
    <w:multiLevelType w:val="multilevel"/>
    <w:tmpl w:val="0B0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76CA4"/>
    <w:multiLevelType w:val="multilevel"/>
    <w:tmpl w:val="603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E7E37"/>
    <w:multiLevelType w:val="multilevel"/>
    <w:tmpl w:val="ADB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8552AA"/>
    <w:multiLevelType w:val="multilevel"/>
    <w:tmpl w:val="15D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674888"/>
    <w:multiLevelType w:val="multilevel"/>
    <w:tmpl w:val="A08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CE36CF"/>
    <w:multiLevelType w:val="multilevel"/>
    <w:tmpl w:val="D6F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F16FEC"/>
    <w:multiLevelType w:val="multilevel"/>
    <w:tmpl w:val="DDF0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24446"/>
    <w:multiLevelType w:val="multilevel"/>
    <w:tmpl w:val="07BA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1347F3"/>
    <w:multiLevelType w:val="multilevel"/>
    <w:tmpl w:val="16784A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A2BE3"/>
    <w:multiLevelType w:val="multilevel"/>
    <w:tmpl w:val="DF80E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4B2CF4"/>
    <w:multiLevelType w:val="multilevel"/>
    <w:tmpl w:val="8758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9014E6"/>
    <w:multiLevelType w:val="multilevel"/>
    <w:tmpl w:val="E03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A1126A"/>
    <w:multiLevelType w:val="multilevel"/>
    <w:tmpl w:val="1B90C4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BC60F32"/>
    <w:multiLevelType w:val="multilevel"/>
    <w:tmpl w:val="4F524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796388"/>
    <w:multiLevelType w:val="multilevel"/>
    <w:tmpl w:val="40DA5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695997"/>
    <w:multiLevelType w:val="multilevel"/>
    <w:tmpl w:val="9C5E3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F012F6"/>
    <w:multiLevelType w:val="multilevel"/>
    <w:tmpl w:val="586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7715AC"/>
    <w:multiLevelType w:val="multilevel"/>
    <w:tmpl w:val="318C59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05E6F"/>
    <w:multiLevelType w:val="multilevel"/>
    <w:tmpl w:val="025C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2A5937"/>
    <w:multiLevelType w:val="multilevel"/>
    <w:tmpl w:val="B252A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6016E74"/>
    <w:multiLevelType w:val="multilevel"/>
    <w:tmpl w:val="5B06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690A82"/>
    <w:multiLevelType w:val="multilevel"/>
    <w:tmpl w:val="87E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601881"/>
    <w:multiLevelType w:val="multilevel"/>
    <w:tmpl w:val="6CE4D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0E7B5D"/>
    <w:multiLevelType w:val="multilevel"/>
    <w:tmpl w:val="D56C3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492568"/>
    <w:multiLevelType w:val="multilevel"/>
    <w:tmpl w:val="9A1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FE50E0"/>
    <w:multiLevelType w:val="multilevel"/>
    <w:tmpl w:val="AC1C2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865E97"/>
    <w:multiLevelType w:val="multilevel"/>
    <w:tmpl w:val="22BC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F42105C"/>
    <w:multiLevelType w:val="multilevel"/>
    <w:tmpl w:val="AD46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1FA536B"/>
    <w:multiLevelType w:val="multilevel"/>
    <w:tmpl w:val="D506D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3F72584"/>
    <w:multiLevelType w:val="multilevel"/>
    <w:tmpl w:val="D01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2C7FBF"/>
    <w:multiLevelType w:val="multilevel"/>
    <w:tmpl w:val="4B6C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0B6D58"/>
    <w:multiLevelType w:val="multilevel"/>
    <w:tmpl w:val="3E42C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2D796C"/>
    <w:multiLevelType w:val="multilevel"/>
    <w:tmpl w:val="DB0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6FE51BE"/>
    <w:multiLevelType w:val="multilevel"/>
    <w:tmpl w:val="557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7166091"/>
    <w:multiLevelType w:val="multilevel"/>
    <w:tmpl w:val="E1D4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275593"/>
    <w:multiLevelType w:val="multilevel"/>
    <w:tmpl w:val="84AE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F41430"/>
    <w:multiLevelType w:val="multilevel"/>
    <w:tmpl w:val="41EC4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AB00CB"/>
    <w:multiLevelType w:val="multilevel"/>
    <w:tmpl w:val="1AD0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E14892"/>
    <w:multiLevelType w:val="multilevel"/>
    <w:tmpl w:val="91F86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066603">
    <w:abstractNumId w:val="27"/>
  </w:num>
  <w:num w:numId="2" w16cid:durableId="1122116452">
    <w:abstractNumId w:val="57"/>
  </w:num>
  <w:num w:numId="3" w16cid:durableId="298416952">
    <w:abstractNumId w:val="46"/>
  </w:num>
  <w:num w:numId="4" w16cid:durableId="797643422">
    <w:abstractNumId w:val="43"/>
  </w:num>
  <w:num w:numId="5" w16cid:durableId="895091309">
    <w:abstractNumId w:val="41"/>
  </w:num>
  <w:num w:numId="6" w16cid:durableId="1205750981">
    <w:abstractNumId w:val="22"/>
  </w:num>
  <w:num w:numId="7" w16cid:durableId="1051811024">
    <w:abstractNumId w:val="39"/>
  </w:num>
  <w:num w:numId="8" w16cid:durableId="402261341">
    <w:abstractNumId w:val="32"/>
  </w:num>
  <w:num w:numId="9" w16cid:durableId="1150488223">
    <w:abstractNumId w:val="50"/>
  </w:num>
  <w:num w:numId="10" w16cid:durableId="865018646">
    <w:abstractNumId w:val="8"/>
  </w:num>
  <w:num w:numId="11" w16cid:durableId="558979855">
    <w:abstractNumId w:val="26"/>
  </w:num>
  <w:num w:numId="12" w16cid:durableId="979379412">
    <w:abstractNumId w:val="47"/>
  </w:num>
  <w:num w:numId="13" w16cid:durableId="347635251">
    <w:abstractNumId w:val="2"/>
  </w:num>
  <w:num w:numId="14" w16cid:durableId="1102146751">
    <w:abstractNumId w:val="16"/>
  </w:num>
  <w:num w:numId="15" w16cid:durableId="1583103862">
    <w:abstractNumId w:val="7"/>
  </w:num>
  <w:num w:numId="16" w16cid:durableId="356926257">
    <w:abstractNumId w:val="18"/>
  </w:num>
  <w:num w:numId="17" w16cid:durableId="541409116">
    <w:abstractNumId w:val="58"/>
  </w:num>
  <w:num w:numId="18" w16cid:durableId="667559833">
    <w:abstractNumId w:val="53"/>
  </w:num>
  <w:num w:numId="19" w16cid:durableId="1314260297">
    <w:abstractNumId w:val="23"/>
  </w:num>
  <w:num w:numId="20" w16cid:durableId="503479323">
    <w:abstractNumId w:val="56"/>
  </w:num>
  <w:num w:numId="21" w16cid:durableId="234512309">
    <w:abstractNumId w:val="35"/>
  </w:num>
  <w:num w:numId="22" w16cid:durableId="11616228">
    <w:abstractNumId w:val="38"/>
  </w:num>
  <w:num w:numId="23" w16cid:durableId="1573003100">
    <w:abstractNumId w:val="34"/>
  </w:num>
  <w:num w:numId="24" w16cid:durableId="145249544">
    <w:abstractNumId w:val="20"/>
  </w:num>
  <w:num w:numId="25" w16cid:durableId="2055034770">
    <w:abstractNumId w:val="29"/>
  </w:num>
  <w:num w:numId="26" w16cid:durableId="1855609505">
    <w:abstractNumId w:val="13"/>
  </w:num>
  <w:num w:numId="27" w16cid:durableId="1547177990">
    <w:abstractNumId w:val="6"/>
  </w:num>
  <w:num w:numId="28" w16cid:durableId="1105537072">
    <w:abstractNumId w:val="36"/>
  </w:num>
  <w:num w:numId="29" w16cid:durableId="727264361">
    <w:abstractNumId w:val="59"/>
  </w:num>
  <w:num w:numId="30" w16cid:durableId="1978871726">
    <w:abstractNumId w:val="37"/>
  </w:num>
  <w:num w:numId="31" w16cid:durableId="1693260038">
    <w:abstractNumId w:val="51"/>
  </w:num>
  <w:num w:numId="32" w16cid:durableId="1585607228">
    <w:abstractNumId w:val="15"/>
  </w:num>
  <w:num w:numId="33" w16cid:durableId="296884684">
    <w:abstractNumId w:val="14"/>
  </w:num>
  <w:num w:numId="34" w16cid:durableId="485367760">
    <w:abstractNumId w:val="31"/>
  </w:num>
  <w:num w:numId="35" w16cid:durableId="1326321208">
    <w:abstractNumId w:val="12"/>
  </w:num>
  <w:num w:numId="36" w16cid:durableId="2126578417">
    <w:abstractNumId w:val="17"/>
  </w:num>
  <w:num w:numId="37" w16cid:durableId="1072317517">
    <w:abstractNumId w:val="54"/>
  </w:num>
  <w:num w:numId="38" w16cid:durableId="811216309">
    <w:abstractNumId w:val="0"/>
  </w:num>
  <w:num w:numId="39" w16cid:durableId="1051884514">
    <w:abstractNumId w:val="19"/>
  </w:num>
  <w:num w:numId="40" w16cid:durableId="1012145295">
    <w:abstractNumId w:val="48"/>
  </w:num>
  <w:num w:numId="41" w16cid:durableId="697051164">
    <w:abstractNumId w:val="25"/>
  </w:num>
  <w:num w:numId="42" w16cid:durableId="1128089573">
    <w:abstractNumId w:val="42"/>
  </w:num>
  <w:num w:numId="43" w16cid:durableId="127479390">
    <w:abstractNumId w:val="33"/>
  </w:num>
  <w:num w:numId="44" w16cid:durableId="397675074">
    <w:abstractNumId w:val="1"/>
  </w:num>
  <w:num w:numId="45" w16cid:durableId="665866845">
    <w:abstractNumId w:val="11"/>
  </w:num>
  <w:num w:numId="46" w16cid:durableId="133639553">
    <w:abstractNumId w:val="49"/>
  </w:num>
  <w:num w:numId="47" w16cid:durableId="64113835">
    <w:abstractNumId w:val="40"/>
  </w:num>
  <w:num w:numId="48" w16cid:durableId="1954242448">
    <w:abstractNumId w:val="55"/>
  </w:num>
  <w:num w:numId="49" w16cid:durableId="490756477">
    <w:abstractNumId w:val="30"/>
  </w:num>
  <w:num w:numId="50" w16cid:durableId="273251806">
    <w:abstractNumId w:val="44"/>
  </w:num>
  <w:num w:numId="51" w16cid:durableId="1609267404">
    <w:abstractNumId w:val="52"/>
  </w:num>
  <w:num w:numId="52" w16cid:durableId="864365373">
    <w:abstractNumId w:val="45"/>
  </w:num>
  <w:num w:numId="53" w16cid:durableId="1792094254">
    <w:abstractNumId w:val="3"/>
  </w:num>
  <w:num w:numId="54" w16cid:durableId="1133985579">
    <w:abstractNumId w:val="5"/>
  </w:num>
  <w:num w:numId="55" w16cid:durableId="1963920479">
    <w:abstractNumId w:val="4"/>
  </w:num>
  <w:num w:numId="56" w16cid:durableId="482165197">
    <w:abstractNumId w:val="24"/>
  </w:num>
  <w:num w:numId="57" w16cid:durableId="1658339691">
    <w:abstractNumId w:val="9"/>
  </w:num>
  <w:num w:numId="58" w16cid:durableId="2115401821">
    <w:abstractNumId w:val="21"/>
  </w:num>
  <w:num w:numId="59" w16cid:durableId="1872110938">
    <w:abstractNumId w:val="28"/>
  </w:num>
  <w:num w:numId="60" w16cid:durableId="1850440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10"/>
    <w:rsid w:val="003876AC"/>
    <w:rsid w:val="005B0108"/>
    <w:rsid w:val="006C0E2C"/>
    <w:rsid w:val="00705AAB"/>
    <w:rsid w:val="00D95A78"/>
    <w:rsid w:val="00E45210"/>
    <w:rsid w:val="00E716E3"/>
    <w:rsid w:val="00E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EB94"/>
  <w15:chartTrackingRefBased/>
  <w15:docId w15:val="{B73346E2-001D-43B2-AED3-A52ABF75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Гранкина</dc:creator>
  <cp:keywords/>
  <dc:description/>
  <cp:lastModifiedBy>Евгения Гранкина</cp:lastModifiedBy>
  <cp:revision>1</cp:revision>
  <dcterms:created xsi:type="dcterms:W3CDTF">2025-11-12T16:27:00Z</dcterms:created>
  <dcterms:modified xsi:type="dcterms:W3CDTF">2025-11-12T16:28:00Z</dcterms:modified>
</cp:coreProperties>
</file>