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C2A55F" w14:textId="77777777" w:rsidR="00B57B48" w:rsidRPr="00B57B48" w:rsidRDefault="00B57B48" w:rsidP="00B57B48">
      <w:r w:rsidRPr="00B57B48">
        <w:rPr>
          <w:b/>
          <w:bCs/>
        </w:rPr>
        <w:t>Phase 1: Planning and Design Document</w:t>
      </w:r>
      <w:r w:rsidRPr="00B57B48">
        <w:t> </w:t>
      </w:r>
    </w:p>
    <w:p w14:paraId="374EF0A6" w14:textId="77777777" w:rsidR="00B57B48" w:rsidRPr="00B57B48" w:rsidRDefault="00B57B48" w:rsidP="00B57B48">
      <w:r w:rsidRPr="00B57B48">
        <w:rPr>
          <w:b/>
          <w:bCs/>
        </w:rPr>
        <w:t>Team / Organization Name (Working Title):</w:t>
      </w:r>
      <w:r w:rsidRPr="00B57B48">
        <w:t> </w:t>
      </w:r>
    </w:p>
    <w:p w14:paraId="6A72E08D" w14:textId="77777777" w:rsidR="00B57B48" w:rsidRPr="00B57B48" w:rsidRDefault="00B57B48" w:rsidP="00B57B48">
      <w:r w:rsidRPr="00B57B48">
        <w:rPr>
          <w:b/>
          <w:bCs/>
        </w:rPr>
        <w:t>1. Purpose &amp; Objectives</w:t>
      </w:r>
      <w:r w:rsidRPr="00B57B48">
        <w:t> </w:t>
      </w:r>
    </w:p>
    <w:p w14:paraId="541D6FAB" w14:textId="77777777" w:rsidR="00B57B48" w:rsidRPr="00B57B48" w:rsidRDefault="00B57B48" w:rsidP="00B57B48">
      <w:r w:rsidRPr="00B57B48">
        <w:t>Cybersecurity threats continue to rise, yet many everyday internet users lack the knowledge to protect themselves. Most public cybersecurity resources are either too technical, too vague, or not designed for non-experts. As a result, people unintentionally expose their passwords, personal information, and browsing data, increasing their risk of identity theft, scams, and account takeover. </w:t>
      </w:r>
    </w:p>
    <w:p w14:paraId="0851C2EC" w14:textId="77777777" w:rsidR="00B57B48" w:rsidRPr="00B57B48" w:rsidRDefault="00B57B48" w:rsidP="00B57B48">
      <w:r w:rsidRPr="00B57B48">
        <w:rPr>
          <w:b/>
          <w:bCs/>
        </w:rPr>
        <w:t>Our company exists to close this knowledge gap.</w:t>
      </w:r>
      <w:r w:rsidRPr="00B57B48">
        <w:t> </w:t>
      </w:r>
      <w:r w:rsidRPr="00B57B48">
        <w:br/>
      </w:r>
      <w:proofErr w:type="spellStart"/>
      <w:r w:rsidRPr="00B57B48">
        <w:rPr>
          <w:i/>
          <w:iCs/>
        </w:rPr>
        <w:t>CyberSafe</w:t>
      </w:r>
      <w:proofErr w:type="spellEnd"/>
      <w:r w:rsidRPr="00B57B48">
        <w:t xml:space="preserve"> offers straightforward, clear, and practical cybersecurity education for public, casual internet users. We display easy to understand educational videos for users to learn.</w:t>
      </w:r>
      <w:r w:rsidRPr="00B57B48">
        <w:tab/>
        <w:t> </w:t>
      </w:r>
    </w:p>
    <w:p w14:paraId="43AF9C5E" w14:textId="77777777" w:rsidR="00B57B48" w:rsidRPr="00B57B48" w:rsidRDefault="00B57B48" w:rsidP="00B57B48">
      <w:r w:rsidRPr="00B57B48">
        <w:rPr>
          <w:b/>
          <w:bCs/>
        </w:rPr>
        <w:t>Objectives:</w:t>
      </w:r>
      <w:r w:rsidRPr="00B57B48">
        <w:t> </w:t>
      </w:r>
    </w:p>
    <w:p w14:paraId="430EAAAC" w14:textId="77777777" w:rsidR="00B57B48" w:rsidRPr="00B57B48" w:rsidRDefault="00B57B48" w:rsidP="00B57B48">
      <w:pPr>
        <w:numPr>
          <w:ilvl w:val="0"/>
          <w:numId w:val="1"/>
        </w:numPr>
      </w:pPr>
      <w:r w:rsidRPr="00B57B48">
        <w:t>To teach essential cybersecurity topics such as cryptography, hashing, password hygiene &amp; best practices, and information about recent breach case studies. </w:t>
      </w:r>
    </w:p>
    <w:p w14:paraId="24B6713C" w14:textId="77777777" w:rsidR="00B57B48" w:rsidRPr="00B57B48" w:rsidRDefault="00B57B48" w:rsidP="00B57B48">
      <w:pPr>
        <w:numPr>
          <w:ilvl w:val="0"/>
          <w:numId w:val="2"/>
        </w:numPr>
      </w:pPr>
      <w:r w:rsidRPr="00B57B48">
        <w:t>To raise awareness about digital threats and how to prevent them. </w:t>
      </w:r>
    </w:p>
    <w:p w14:paraId="0622E218" w14:textId="77777777" w:rsidR="00B57B48" w:rsidRPr="00B57B48" w:rsidRDefault="00B57B48" w:rsidP="00B57B48">
      <w:pPr>
        <w:numPr>
          <w:ilvl w:val="0"/>
          <w:numId w:val="3"/>
        </w:numPr>
      </w:pPr>
      <w:r w:rsidRPr="00B57B48">
        <w:t>To promote responsible online behavior and respect for data privacy. </w:t>
      </w:r>
    </w:p>
    <w:p w14:paraId="0348574A" w14:textId="77777777" w:rsidR="00B57B48" w:rsidRPr="00B57B48" w:rsidRDefault="00B57B48" w:rsidP="00B57B48">
      <w:pPr>
        <w:numPr>
          <w:ilvl w:val="0"/>
          <w:numId w:val="4"/>
        </w:numPr>
      </w:pPr>
      <w:r w:rsidRPr="00B57B48">
        <w:t>To provide a free, reliable online learning platform that supports self-education in cybersecurity. </w:t>
      </w:r>
    </w:p>
    <w:p w14:paraId="09495793" w14:textId="77777777" w:rsidR="00B57B48" w:rsidRPr="00B57B48" w:rsidRDefault="00B57B48" w:rsidP="00B57B48">
      <w:r w:rsidRPr="00B57B48">
        <w:t> </w:t>
      </w:r>
    </w:p>
    <w:p w14:paraId="5DB163E4" w14:textId="77777777" w:rsidR="00B57B48" w:rsidRPr="00B57B48" w:rsidRDefault="00B57B48" w:rsidP="00B57B48">
      <w:r w:rsidRPr="00B57B48">
        <w:rPr>
          <w:b/>
          <w:bCs/>
        </w:rPr>
        <w:t>2. Website Goals &amp; Features</w:t>
      </w:r>
      <w:r w:rsidRPr="00B57B48">
        <w:t> </w:t>
      </w:r>
    </w:p>
    <w:p w14:paraId="79520937" w14:textId="77777777" w:rsidR="00B57B48" w:rsidRPr="00B57B48" w:rsidRDefault="00B57B48" w:rsidP="00B57B48">
      <w:r w:rsidRPr="00B57B48">
        <w:t xml:space="preserve">Our website will function as a </w:t>
      </w:r>
      <w:r w:rsidRPr="00B57B48">
        <w:rPr>
          <w:b/>
          <w:bCs/>
        </w:rPr>
        <w:t>public education platform</w:t>
      </w:r>
      <w:r w:rsidRPr="00B57B48">
        <w:t xml:space="preserve"> that provides: </w:t>
      </w:r>
    </w:p>
    <w:p w14:paraId="5B388D5F" w14:textId="77777777" w:rsidR="00B57B48" w:rsidRPr="00B57B48" w:rsidRDefault="00B57B48" w:rsidP="00B57B48">
      <w:r w:rsidRPr="00B57B48">
        <w:t> </w:t>
      </w:r>
    </w:p>
    <w:tbl>
      <w:tblPr>
        <w:tblW w:w="0" w:type="dxa"/>
        <w:tblInd w:w="-660" w:type="dxa"/>
        <w:tblCellMar>
          <w:left w:w="0" w:type="dxa"/>
          <w:right w:w="0" w:type="dxa"/>
        </w:tblCellMar>
        <w:tblLook w:val="04A0" w:firstRow="1" w:lastRow="0" w:firstColumn="1" w:lastColumn="0" w:noHBand="0" w:noVBand="1"/>
      </w:tblPr>
      <w:tblGrid>
        <w:gridCol w:w="2686"/>
        <w:gridCol w:w="7334"/>
      </w:tblGrid>
      <w:tr w:rsidR="00B57B48" w:rsidRPr="00B57B48" w14:paraId="475288FC" w14:textId="77777777">
        <w:trPr>
          <w:trHeight w:val="300"/>
        </w:trPr>
        <w:tc>
          <w:tcPr>
            <w:tcW w:w="2955" w:type="dxa"/>
            <w:tcBorders>
              <w:top w:val="nil"/>
              <w:left w:val="nil"/>
              <w:bottom w:val="nil"/>
              <w:right w:val="nil"/>
            </w:tcBorders>
            <w:vAlign w:val="center"/>
            <w:hideMark/>
          </w:tcPr>
          <w:p w14:paraId="2394623C" w14:textId="77777777" w:rsidR="00B57B48" w:rsidRPr="00B57B48" w:rsidRDefault="00B57B48" w:rsidP="00B57B48">
            <w:r w:rsidRPr="00B57B48">
              <w:rPr>
                <w:b/>
                <w:bCs/>
              </w:rPr>
              <w:t>Feature</w:t>
            </w:r>
            <w:r w:rsidRPr="00B57B48">
              <w:t> </w:t>
            </w:r>
          </w:p>
        </w:tc>
        <w:tc>
          <w:tcPr>
            <w:tcW w:w="8490" w:type="dxa"/>
            <w:tcBorders>
              <w:top w:val="nil"/>
              <w:left w:val="nil"/>
              <w:bottom w:val="nil"/>
              <w:right w:val="nil"/>
            </w:tcBorders>
            <w:vAlign w:val="center"/>
            <w:hideMark/>
          </w:tcPr>
          <w:p w14:paraId="0E8960C8" w14:textId="77777777" w:rsidR="00B57B48" w:rsidRPr="00B57B48" w:rsidRDefault="00B57B48" w:rsidP="00B57B48">
            <w:r w:rsidRPr="00B57B48">
              <w:rPr>
                <w:b/>
                <w:bCs/>
              </w:rPr>
              <w:t>Purpose</w:t>
            </w:r>
            <w:r w:rsidRPr="00B57B48">
              <w:t> </w:t>
            </w:r>
          </w:p>
        </w:tc>
      </w:tr>
      <w:tr w:rsidR="00B57B48" w:rsidRPr="00B57B48" w14:paraId="45C55FBF" w14:textId="77777777">
        <w:trPr>
          <w:trHeight w:val="300"/>
        </w:trPr>
        <w:tc>
          <w:tcPr>
            <w:tcW w:w="2955" w:type="dxa"/>
            <w:tcBorders>
              <w:top w:val="nil"/>
              <w:left w:val="nil"/>
              <w:bottom w:val="nil"/>
              <w:right w:val="nil"/>
            </w:tcBorders>
            <w:vAlign w:val="center"/>
            <w:hideMark/>
          </w:tcPr>
          <w:p w14:paraId="445E0B75" w14:textId="77777777" w:rsidR="00B57B48" w:rsidRPr="00B57B48" w:rsidRDefault="00B57B48" w:rsidP="00B57B48">
            <w:r w:rsidRPr="00B57B48">
              <w:t>Clean, user-friendly homepage </w:t>
            </w:r>
          </w:p>
        </w:tc>
        <w:tc>
          <w:tcPr>
            <w:tcW w:w="8490" w:type="dxa"/>
            <w:tcBorders>
              <w:top w:val="nil"/>
              <w:left w:val="nil"/>
              <w:bottom w:val="nil"/>
              <w:right w:val="nil"/>
            </w:tcBorders>
            <w:vAlign w:val="center"/>
            <w:hideMark/>
          </w:tcPr>
          <w:p w14:paraId="66EA4E29" w14:textId="77777777" w:rsidR="00B57B48" w:rsidRPr="00B57B48" w:rsidRDefault="00B57B48" w:rsidP="00B57B48">
            <w:r w:rsidRPr="00B57B48">
              <w:t>Explain who we are and what we teach in simple language. </w:t>
            </w:r>
          </w:p>
        </w:tc>
      </w:tr>
      <w:tr w:rsidR="00B57B48" w:rsidRPr="00B57B48" w14:paraId="6900D114" w14:textId="77777777">
        <w:trPr>
          <w:trHeight w:val="300"/>
        </w:trPr>
        <w:tc>
          <w:tcPr>
            <w:tcW w:w="2955" w:type="dxa"/>
            <w:tcBorders>
              <w:top w:val="nil"/>
              <w:left w:val="nil"/>
              <w:bottom w:val="nil"/>
              <w:right w:val="nil"/>
            </w:tcBorders>
            <w:vAlign w:val="center"/>
            <w:hideMark/>
          </w:tcPr>
          <w:p w14:paraId="3FF70EF5" w14:textId="77777777" w:rsidR="00B57B48" w:rsidRPr="00B57B48" w:rsidRDefault="00B57B48" w:rsidP="00B57B48">
            <w:r w:rsidRPr="00B57B48">
              <w:t>Short educational videos </w:t>
            </w:r>
          </w:p>
        </w:tc>
        <w:tc>
          <w:tcPr>
            <w:tcW w:w="8490" w:type="dxa"/>
            <w:tcBorders>
              <w:top w:val="nil"/>
              <w:left w:val="nil"/>
              <w:bottom w:val="nil"/>
              <w:right w:val="nil"/>
            </w:tcBorders>
            <w:vAlign w:val="center"/>
            <w:hideMark/>
          </w:tcPr>
          <w:p w14:paraId="0405AE6A" w14:textId="77777777" w:rsidR="00B57B48" w:rsidRPr="00B57B48" w:rsidRDefault="00B57B48" w:rsidP="00B57B48">
            <w:r w:rsidRPr="00B57B48">
              <w:t>Visually demonstrate cryptography, hashing, password hygiene, and breach case studies. </w:t>
            </w:r>
          </w:p>
        </w:tc>
      </w:tr>
      <w:tr w:rsidR="00B57B48" w:rsidRPr="00B57B48" w14:paraId="5387654F" w14:textId="77777777">
        <w:trPr>
          <w:trHeight w:val="300"/>
        </w:trPr>
        <w:tc>
          <w:tcPr>
            <w:tcW w:w="2955" w:type="dxa"/>
            <w:tcBorders>
              <w:top w:val="nil"/>
              <w:left w:val="nil"/>
              <w:bottom w:val="nil"/>
              <w:right w:val="nil"/>
            </w:tcBorders>
            <w:vAlign w:val="center"/>
            <w:hideMark/>
          </w:tcPr>
          <w:p w14:paraId="5F61CB6C" w14:textId="77777777" w:rsidR="00B57B48" w:rsidRPr="00B57B48" w:rsidRDefault="00B57B48" w:rsidP="00B57B48">
            <w:r w:rsidRPr="00B57B48">
              <w:t>Guides &amp; infographics </w:t>
            </w:r>
          </w:p>
        </w:tc>
        <w:tc>
          <w:tcPr>
            <w:tcW w:w="8490" w:type="dxa"/>
            <w:tcBorders>
              <w:top w:val="nil"/>
              <w:left w:val="nil"/>
              <w:bottom w:val="nil"/>
              <w:right w:val="nil"/>
            </w:tcBorders>
            <w:vAlign w:val="center"/>
            <w:hideMark/>
          </w:tcPr>
          <w:p w14:paraId="45C5E24C" w14:textId="77777777" w:rsidR="00B57B48" w:rsidRPr="00B57B48" w:rsidRDefault="00B57B48" w:rsidP="00B57B48">
            <w:r w:rsidRPr="00B57B48">
              <w:t>Provide bite-sized, step-by-step security tips. </w:t>
            </w:r>
          </w:p>
        </w:tc>
      </w:tr>
      <w:tr w:rsidR="00B57B48" w:rsidRPr="00B57B48" w14:paraId="0E12BE5D" w14:textId="77777777">
        <w:trPr>
          <w:trHeight w:val="300"/>
        </w:trPr>
        <w:tc>
          <w:tcPr>
            <w:tcW w:w="2955" w:type="dxa"/>
            <w:tcBorders>
              <w:top w:val="nil"/>
              <w:left w:val="nil"/>
              <w:bottom w:val="nil"/>
              <w:right w:val="nil"/>
            </w:tcBorders>
            <w:vAlign w:val="center"/>
            <w:hideMark/>
          </w:tcPr>
          <w:p w14:paraId="0C467087" w14:textId="77777777" w:rsidR="00B57B48" w:rsidRPr="00B57B48" w:rsidRDefault="00B57B48" w:rsidP="00B57B48">
            <w:r w:rsidRPr="00B57B48">
              <w:lastRenderedPageBreak/>
              <w:t>Custom Privacy Policy </w:t>
            </w:r>
          </w:p>
        </w:tc>
        <w:tc>
          <w:tcPr>
            <w:tcW w:w="8490" w:type="dxa"/>
            <w:tcBorders>
              <w:top w:val="nil"/>
              <w:left w:val="nil"/>
              <w:bottom w:val="nil"/>
              <w:right w:val="nil"/>
            </w:tcBorders>
            <w:vAlign w:val="center"/>
            <w:hideMark/>
          </w:tcPr>
          <w:p w14:paraId="0557A2F2" w14:textId="77777777" w:rsidR="00B57B48" w:rsidRPr="00B57B48" w:rsidRDefault="00B57B48" w:rsidP="00B57B48">
            <w:r w:rsidRPr="00B57B48">
              <w:t>Communicate responsible data practices clearly and transparently. </w:t>
            </w:r>
          </w:p>
        </w:tc>
      </w:tr>
      <w:tr w:rsidR="00B57B48" w:rsidRPr="00B57B48" w14:paraId="4FD5DF0D" w14:textId="77777777">
        <w:trPr>
          <w:trHeight w:val="300"/>
        </w:trPr>
        <w:tc>
          <w:tcPr>
            <w:tcW w:w="2955" w:type="dxa"/>
            <w:tcBorders>
              <w:top w:val="nil"/>
              <w:left w:val="nil"/>
              <w:bottom w:val="nil"/>
              <w:right w:val="nil"/>
            </w:tcBorders>
            <w:vAlign w:val="center"/>
            <w:hideMark/>
          </w:tcPr>
          <w:p w14:paraId="001D9BDA" w14:textId="77777777" w:rsidR="00B57B48" w:rsidRPr="00B57B48" w:rsidRDefault="00B57B48" w:rsidP="00B57B48">
            <w:r w:rsidRPr="00B57B48">
              <w:t>Breach Response Plan </w:t>
            </w:r>
          </w:p>
        </w:tc>
        <w:tc>
          <w:tcPr>
            <w:tcW w:w="8490" w:type="dxa"/>
            <w:tcBorders>
              <w:top w:val="nil"/>
              <w:left w:val="nil"/>
              <w:bottom w:val="nil"/>
              <w:right w:val="nil"/>
            </w:tcBorders>
            <w:vAlign w:val="center"/>
            <w:hideMark/>
          </w:tcPr>
          <w:p w14:paraId="0AF0B82A" w14:textId="77777777" w:rsidR="00B57B48" w:rsidRPr="00B57B48" w:rsidRDefault="00B57B48" w:rsidP="00B57B48">
            <w:r w:rsidRPr="00B57B48">
              <w:t>Show preparedness and professional awareness. </w:t>
            </w:r>
          </w:p>
        </w:tc>
      </w:tr>
      <w:tr w:rsidR="00B57B48" w:rsidRPr="00B57B48" w14:paraId="572D9D99" w14:textId="77777777">
        <w:trPr>
          <w:trHeight w:val="300"/>
        </w:trPr>
        <w:tc>
          <w:tcPr>
            <w:tcW w:w="2955" w:type="dxa"/>
            <w:tcBorders>
              <w:top w:val="nil"/>
              <w:left w:val="nil"/>
              <w:bottom w:val="nil"/>
              <w:right w:val="nil"/>
            </w:tcBorders>
            <w:vAlign w:val="center"/>
            <w:hideMark/>
          </w:tcPr>
          <w:p w14:paraId="5ADADBFD" w14:textId="77777777" w:rsidR="00B57B48" w:rsidRPr="00B57B48" w:rsidRDefault="00B57B48" w:rsidP="00B57B48">
            <w:r w:rsidRPr="00B57B48">
              <w:t>Contact Page </w:t>
            </w:r>
          </w:p>
        </w:tc>
        <w:tc>
          <w:tcPr>
            <w:tcW w:w="8490" w:type="dxa"/>
            <w:tcBorders>
              <w:top w:val="nil"/>
              <w:left w:val="nil"/>
              <w:bottom w:val="nil"/>
              <w:right w:val="nil"/>
            </w:tcBorders>
            <w:vAlign w:val="center"/>
            <w:hideMark/>
          </w:tcPr>
          <w:p w14:paraId="19366782" w14:textId="77777777" w:rsidR="00B57B48" w:rsidRPr="00B57B48" w:rsidRDefault="00B57B48" w:rsidP="00B57B48">
            <w:r w:rsidRPr="00B57B48">
              <w:t>Allow site visitors to ask questions or request workshops. </w:t>
            </w:r>
          </w:p>
        </w:tc>
      </w:tr>
    </w:tbl>
    <w:p w14:paraId="0C03D957" w14:textId="77777777" w:rsidR="00B57B48" w:rsidRPr="00B57B48" w:rsidRDefault="00B57B48" w:rsidP="00B57B48">
      <w:r w:rsidRPr="00B57B48">
        <w:rPr>
          <w:b/>
          <w:bCs/>
        </w:rPr>
        <w:t>Overall Goal:</w:t>
      </w:r>
      <w:r w:rsidRPr="00B57B48">
        <w:t> </w:t>
      </w:r>
      <w:r w:rsidRPr="00B57B48">
        <w:br/>
        <w:t xml:space="preserve">Make </w:t>
      </w:r>
      <w:proofErr w:type="spellStart"/>
      <w:r w:rsidRPr="00B57B48">
        <w:rPr>
          <w:i/>
          <w:iCs/>
        </w:rPr>
        <w:t>CyberSafe</w:t>
      </w:r>
      <w:proofErr w:type="spellEnd"/>
      <w:r w:rsidRPr="00B57B48">
        <w:t xml:space="preserve"> </w:t>
      </w:r>
      <w:r w:rsidRPr="00B57B48">
        <w:rPr>
          <w:b/>
          <w:bCs/>
        </w:rPr>
        <w:t>approachable, easy-to-understand, trustworthy, and actionable.</w:t>
      </w:r>
      <w:r w:rsidRPr="00B57B48">
        <w:t> </w:t>
      </w:r>
    </w:p>
    <w:p w14:paraId="0AB5A185" w14:textId="77777777" w:rsidR="00B57B48" w:rsidRPr="00B57B48" w:rsidRDefault="00B57B48" w:rsidP="00B57B48">
      <w:r w:rsidRPr="00B57B48">
        <w:rPr>
          <w:b/>
          <w:bCs/>
        </w:rPr>
        <w:t>3. Domain Name Planning</w:t>
      </w:r>
      <w:r w:rsidRPr="00B57B48">
        <w:t> </w:t>
      </w:r>
    </w:p>
    <w:p w14:paraId="750226A8" w14:textId="77777777" w:rsidR="00B57B48" w:rsidRPr="00B57B48" w:rsidRDefault="00B57B48" w:rsidP="00B57B48">
      <w:r w:rsidRPr="00B57B48">
        <w:rPr>
          <w:b/>
          <w:bCs/>
        </w:rPr>
        <w:t>Potential Domain Name:</w:t>
      </w:r>
      <w:r w:rsidRPr="00B57B48">
        <w:t> </w:t>
      </w:r>
    </w:p>
    <w:p w14:paraId="6E91F5D6" w14:textId="77777777" w:rsidR="00B57B48" w:rsidRPr="00B57B48" w:rsidRDefault="00B57B48" w:rsidP="00B57B48">
      <w:pPr>
        <w:numPr>
          <w:ilvl w:val="0"/>
          <w:numId w:val="5"/>
        </w:numPr>
      </w:pPr>
      <w:r w:rsidRPr="00B57B48">
        <w:rPr>
          <w:b/>
          <w:bCs/>
        </w:rPr>
        <w:t>CyberSafe.com</w:t>
      </w:r>
      <w:r w:rsidRPr="00B57B48">
        <w:t> </w:t>
      </w:r>
    </w:p>
    <w:p w14:paraId="709107DA" w14:textId="77777777" w:rsidR="00B57B48" w:rsidRPr="00B57B48" w:rsidRDefault="00B57B48" w:rsidP="00B57B48">
      <w:pPr>
        <w:numPr>
          <w:ilvl w:val="0"/>
          <w:numId w:val="6"/>
        </w:numPr>
      </w:pPr>
      <w:r w:rsidRPr="00B57B48">
        <w:rPr>
          <w:b/>
          <w:bCs/>
        </w:rPr>
        <w:t>CyberSafe.org</w:t>
      </w:r>
      <w:r w:rsidRPr="00B57B48">
        <w:t xml:space="preserve">  </w:t>
      </w:r>
    </w:p>
    <w:p w14:paraId="06E732CE" w14:textId="77777777" w:rsidR="00B57B48" w:rsidRPr="00B57B48" w:rsidRDefault="00B57B48" w:rsidP="00B57B48">
      <w:r w:rsidRPr="00B57B48">
        <w:rPr>
          <w:b/>
          <w:bCs/>
        </w:rPr>
        <w:t>Availability (Checked via Namecheap / GoDaddy) PROB USING WIX</w:t>
      </w:r>
      <w:r w:rsidRPr="00B57B48">
        <w:t> </w:t>
      </w:r>
    </w:p>
    <w:p w14:paraId="6E94BF02" w14:textId="77777777" w:rsidR="00B57B48" w:rsidRPr="00B57B48" w:rsidRDefault="00B57B48" w:rsidP="00B57B48">
      <w:r w:rsidRPr="00B57B48">
        <w:rPr>
          <w:b/>
          <w:bCs/>
        </w:rPr>
        <w:t>4. Free Hosting &amp; Development Resource</w:t>
      </w:r>
      <w:r w:rsidRPr="00B57B48">
        <w:t> </w:t>
      </w:r>
    </w:p>
    <w:p w14:paraId="5B709614" w14:textId="77777777" w:rsidR="00B57B48" w:rsidRPr="00B57B48" w:rsidRDefault="00B57B48" w:rsidP="00B57B48">
      <w:r w:rsidRPr="00B57B48">
        <w:t xml:space="preserve">Chosen Platform: </w:t>
      </w:r>
      <w:proofErr w:type="spellStart"/>
      <w:r w:rsidRPr="00B57B48">
        <w:t>Webador</w:t>
      </w:r>
      <w:proofErr w:type="spellEnd"/>
      <w:r w:rsidRPr="00B57B48">
        <w:t> </w:t>
      </w:r>
    </w:p>
    <w:p w14:paraId="093A5BE7" w14:textId="77777777" w:rsidR="00B57B48" w:rsidRPr="00B57B48" w:rsidRDefault="00B57B48" w:rsidP="00B57B48">
      <w:pPr>
        <w:numPr>
          <w:ilvl w:val="0"/>
          <w:numId w:val="7"/>
        </w:numPr>
      </w:pPr>
      <w:r w:rsidRPr="00B57B48">
        <w:t>Free, simple to use, no coding required </w:t>
      </w:r>
    </w:p>
    <w:p w14:paraId="1EE47035" w14:textId="77777777" w:rsidR="00B57B48" w:rsidRPr="00B57B48" w:rsidRDefault="00B57B48" w:rsidP="00B57B48">
      <w:r w:rsidRPr="00B57B48">
        <w:rPr>
          <w:b/>
          <w:bCs/>
        </w:rPr>
        <w:t>5. Aesthetic &amp; Design Inspiration</w:t>
      </w:r>
      <w:r w:rsidRPr="00B57B48">
        <w:t> </w:t>
      </w:r>
    </w:p>
    <w:p w14:paraId="3CB15913" w14:textId="77777777" w:rsidR="00B57B48" w:rsidRPr="00B57B48" w:rsidRDefault="00B57B48" w:rsidP="00B57B48">
      <w:r w:rsidRPr="00B57B48">
        <w:rPr>
          <w:b/>
          <w:bCs/>
        </w:rPr>
        <w:t>Look &amp; Feel Goals:</w:t>
      </w:r>
      <w:r w:rsidRPr="00B57B48">
        <w:t> </w:t>
      </w:r>
    </w:p>
    <w:p w14:paraId="7AB3141A" w14:textId="77777777" w:rsidR="00B57B48" w:rsidRPr="00B57B48" w:rsidRDefault="00B57B48" w:rsidP="00B57B48">
      <w:pPr>
        <w:numPr>
          <w:ilvl w:val="0"/>
          <w:numId w:val="8"/>
        </w:numPr>
      </w:pPr>
      <w:r w:rsidRPr="00B57B48">
        <w:t>Clean, modern, and minimal </w:t>
      </w:r>
    </w:p>
    <w:p w14:paraId="4317205B" w14:textId="77777777" w:rsidR="00B57B48" w:rsidRPr="00B57B48" w:rsidRDefault="00B57B48" w:rsidP="00B57B48">
      <w:pPr>
        <w:numPr>
          <w:ilvl w:val="0"/>
          <w:numId w:val="9"/>
        </w:numPr>
      </w:pPr>
      <w:r w:rsidRPr="00B57B48">
        <w:t>Professional but friendly tone </w:t>
      </w:r>
    </w:p>
    <w:p w14:paraId="69412716" w14:textId="77777777" w:rsidR="00B57B48" w:rsidRPr="00B57B48" w:rsidRDefault="00B57B48" w:rsidP="00B57B48">
      <w:pPr>
        <w:numPr>
          <w:ilvl w:val="0"/>
          <w:numId w:val="10"/>
        </w:numPr>
      </w:pPr>
      <w:r w:rsidRPr="00B57B48">
        <w:t>Easy navigation with bold headings and icons </w:t>
      </w:r>
    </w:p>
    <w:p w14:paraId="038563A4" w14:textId="77777777" w:rsidR="00B57B48" w:rsidRPr="00B57B48" w:rsidRDefault="00B57B48" w:rsidP="00B57B48">
      <w:r w:rsidRPr="00B57B48">
        <w:rPr>
          <w:b/>
          <w:bCs/>
        </w:rPr>
        <w:t>Visual Style:</w:t>
      </w:r>
      <w:r w:rsidRPr="00B57B48">
        <w:t> </w:t>
      </w:r>
    </w:p>
    <w:p w14:paraId="2F4C4C97" w14:textId="77777777" w:rsidR="00B57B48" w:rsidRPr="00B57B48" w:rsidRDefault="00B57B48" w:rsidP="00B57B48">
      <w:pPr>
        <w:numPr>
          <w:ilvl w:val="0"/>
          <w:numId w:val="11"/>
        </w:numPr>
      </w:pPr>
      <w:r w:rsidRPr="00B57B48">
        <w:t>Colors: Light blue + white + Navy blue (suggesting trust &amp; clarity) </w:t>
      </w:r>
    </w:p>
    <w:p w14:paraId="1D2317AC" w14:textId="77777777" w:rsidR="00B57B48" w:rsidRPr="00B57B48" w:rsidRDefault="00B57B48" w:rsidP="00B57B48">
      <w:pPr>
        <w:numPr>
          <w:ilvl w:val="0"/>
          <w:numId w:val="12"/>
        </w:numPr>
      </w:pPr>
      <w:r w:rsidRPr="00B57B48">
        <w:t>Icons: Simple cybersecurity illustrations (lock, shield, password dots) </w:t>
      </w:r>
    </w:p>
    <w:p w14:paraId="664FDAA7" w14:textId="77777777" w:rsidR="00B57B48" w:rsidRPr="00B57B48" w:rsidRDefault="00B57B48" w:rsidP="00B57B48">
      <w:pPr>
        <w:numPr>
          <w:ilvl w:val="0"/>
          <w:numId w:val="13"/>
        </w:numPr>
      </w:pPr>
      <w:r w:rsidRPr="00B57B48">
        <w:t>Font: Sans-serif fonts (e.g., Montserrat, Lato) for readability </w:t>
      </w:r>
    </w:p>
    <w:p w14:paraId="20842936" w14:textId="77777777" w:rsidR="00B57B48" w:rsidRPr="00B57B48" w:rsidRDefault="00B57B48" w:rsidP="00B57B48">
      <w:r w:rsidRPr="00B57B48">
        <w:rPr>
          <w:b/>
          <w:bCs/>
        </w:rPr>
        <w:t>Inspirational Websites:</w:t>
      </w:r>
      <w:r w:rsidRPr="00B57B48">
        <w:t> </w:t>
      </w:r>
    </w:p>
    <w:p w14:paraId="092DCFB7" w14:textId="77777777" w:rsidR="00B57B48" w:rsidRPr="00B57B48" w:rsidRDefault="00B57B48" w:rsidP="00B57B48">
      <w:pPr>
        <w:numPr>
          <w:ilvl w:val="0"/>
          <w:numId w:val="14"/>
        </w:numPr>
      </w:pPr>
      <w:r w:rsidRPr="00B57B48">
        <w:rPr>
          <w:b/>
          <w:bCs/>
        </w:rPr>
        <w:t>Google Safety Center</w:t>
      </w:r>
      <w:r w:rsidRPr="00B57B48">
        <w:t xml:space="preserve"> (simple, friendly) – </w:t>
      </w:r>
      <w:proofErr w:type="spellStart"/>
      <w:proofErr w:type="gramStart"/>
      <w:r w:rsidRPr="00B57B48">
        <w:t>safety.google</w:t>
      </w:r>
      <w:proofErr w:type="spellEnd"/>
      <w:proofErr w:type="gramEnd"/>
      <w:r w:rsidRPr="00B57B48">
        <w:t> </w:t>
      </w:r>
    </w:p>
    <w:p w14:paraId="3D8663D1" w14:textId="77777777" w:rsidR="00B57B48" w:rsidRPr="00B57B48" w:rsidRDefault="00B57B48" w:rsidP="00B57B48">
      <w:pPr>
        <w:numPr>
          <w:ilvl w:val="0"/>
          <w:numId w:val="15"/>
        </w:numPr>
      </w:pPr>
      <w:r w:rsidRPr="00B57B48">
        <w:rPr>
          <w:b/>
          <w:bCs/>
        </w:rPr>
        <w:t>HaveIBeenPwned.com</w:t>
      </w:r>
      <w:r w:rsidRPr="00B57B48">
        <w:t xml:space="preserve"> (clean, direct messaging) </w:t>
      </w:r>
    </w:p>
    <w:p w14:paraId="773E3541" w14:textId="5D4B2E3E" w:rsidR="00D95A78" w:rsidRDefault="00B57B48" w:rsidP="00B57B48">
      <w:pPr>
        <w:numPr>
          <w:ilvl w:val="0"/>
          <w:numId w:val="16"/>
        </w:numPr>
      </w:pPr>
      <w:r w:rsidRPr="00B57B48">
        <w:rPr>
          <w:b/>
          <w:bCs/>
        </w:rPr>
        <w:t>Cisco Security Learning Center</w:t>
      </w:r>
      <w:r w:rsidRPr="00B57B48">
        <w:t xml:space="preserve"> (organized educational layout) </w:t>
      </w:r>
    </w:p>
    <w:sectPr w:rsidR="00D95A7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A14F47"/>
    <w:multiLevelType w:val="multilevel"/>
    <w:tmpl w:val="46D265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109E3649"/>
    <w:multiLevelType w:val="multilevel"/>
    <w:tmpl w:val="9C420E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11DF5A64"/>
    <w:multiLevelType w:val="multilevel"/>
    <w:tmpl w:val="F95613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133E5AB1"/>
    <w:multiLevelType w:val="multilevel"/>
    <w:tmpl w:val="0B9473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29E72ADE"/>
    <w:multiLevelType w:val="multilevel"/>
    <w:tmpl w:val="6E2294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3B0A3279"/>
    <w:multiLevelType w:val="multilevel"/>
    <w:tmpl w:val="F8B61F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45841C82"/>
    <w:multiLevelType w:val="multilevel"/>
    <w:tmpl w:val="D658AE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4A6B2D99"/>
    <w:multiLevelType w:val="multilevel"/>
    <w:tmpl w:val="E4E4BE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535058DC"/>
    <w:multiLevelType w:val="multilevel"/>
    <w:tmpl w:val="5A3ACC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5F0E670D"/>
    <w:multiLevelType w:val="multilevel"/>
    <w:tmpl w:val="632AE1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5F6914D6"/>
    <w:multiLevelType w:val="multilevel"/>
    <w:tmpl w:val="12800B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646409B3"/>
    <w:multiLevelType w:val="multilevel"/>
    <w:tmpl w:val="722ED4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71673984"/>
    <w:multiLevelType w:val="multilevel"/>
    <w:tmpl w:val="57A490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77EA1217"/>
    <w:multiLevelType w:val="multilevel"/>
    <w:tmpl w:val="7E445D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793C45B5"/>
    <w:multiLevelType w:val="multilevel"/>
    <w:tmpl w:val="F9140F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7FB05AD8"/>
    <w:multiLevelType w:val="multilevel"/>
    <w:tmpl w:val="BBBE1F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510335095">
    <w:abstractNumId w:val="5"/>
  </w:num>
  <w:num w:numId="2" w16cid:durableId="1316179544">
    <w:abstractNumId w:val="8"/>
  </w:num>
  <w:num w:numId="3" w16cid:durableId="1989624098">
    <w:abstractNumId w:val="6"/>
  </w:num>
  <w:num w:numId="4" w16cid:durableId="1624536161">
    <w:abstractNumId w:val="14"/>
  </w:num>
  <w:num w:numId="5" w16cid:durableId="535969348">
    <w:abstractNumId w:val="12"/>
  </w:num>
  <w:num w:numId="6" w16cid:durableId="1809081010">
    <w:abstractNumId w:val="0"/>
  </w:num>
  <w:num w:numId="7" w16cid:durableId="371157419">
    <w:abstractNumId w:val="15"/>
  </w:num>
  <w:num w:numId="8" w16cid:durableId="505823251">
    <w:abstractNumId w:val="3"/>
  </w:num>
  <w:num w:numId="9" w16cid:durableId="542450743">
    <w:abstractNumId w:val="11"/>
  </w:num>
  <w:num w:numId="10" w16cid:durableId="177429592">
    <w:abstractNumId w:val="1"/>
  </w:num>
  <w:num w:numId="11" w16cid:durableId="1505122892">
    <w:abstractNumId w:val="9"/>
  </w:num>
  <w:num w:numId="12" w16cid:durableId="424957487">
    <w:abstractNumId w:val="10"/>
  </w:num>
  <w:num w:numId="13" w16cid:durableId="1292058994">
    <w:abstractNumId w:val="2"/>
  </w:num>
  <w:num w:numId="14" w16cid:durableId="573398049">
    <w:abstractNumId w:val="13"/>
  </w:num>
  <w:num w:numId="15" w16cid:durableId="172572654">
    <w:abstractNumId w:val="4"/>
  </w:num>
  <w:num w:numId="16" w16cid:durableId="97537321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57B48"/>
    <w:rsid w:val="003876AC"/>
    <w:rsid w:val="005B0108"/>
    <w:rsid w:val="006C0E2C"/>
    <w:rsid w:val="00975CF1"/>
    <w:rsid w:val="00B57B48"/>
    <w:rsid w:val="00D35516"/>
    <w:rsid w:val="00D95A78"/>
    <w:rsid w:val="00E716E3"/>
    <w:rsid w:val="00EE227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334C43"/>
  <w15:chartTrackingRefBased/>
  <w15:docId w15:val="{10C7792C-013F-44A7-8609-5A85CE1452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57B4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57B4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57B4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57B4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57B4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57B4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57B4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57B4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57B4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57B4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57B4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57B4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57B4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57B4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57B4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57B4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57B4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57B48"/>
    <w:rPr>
      <w:rFonts w:eastAsiaTheme="majorEastAsia" w:cstheme="majorBidi"/>
      <w:color w:val="272727" w:themeColor="text1" w:themeTint="D8"/>
    </w:rPr>
  </w:style>
  <w:style w:type="paragraph" w:styleId="Title">
    <w:name w:val="Title"/>
    <w:basedOn w:val="Normal"/>
    <w:next w:val="Normal"/>
    <w:link w:val="TitleChar"/>
    <w:uiPriority w:val="10"/>
    <w:qFormat/>
    <w:rsid w:val="00B57B4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57B4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57B4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57B4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57B48"/>
    <w:pPr>
      <w:spacing w:before="160"/>
      <w:jc w:val="center"/>
    </w:pPr>
    <w:rPr>
      <w:i/>
      <w:iCs/>
      <w:color w:val="404040" w:themeColor="text1" w:themeTint="BF"/>
    </w:rPr>
  </w:style>
  <w:style w:type="character" w:customStyle="1" w:styleId="QuoteChar">
    <w:name w:val="Quote Char"/>
    <w:basedOn w:val="DefaultParagraphFont"/>
    <w:link w:val="Quote"/>
    <w:uiPriority w:val="29"/>
    <w:rsid w:val="00B57B48"/>
    <w:rPr>
      <w:i/>
      <w:iCs/>
      <w:color w:val="404040" w:themeColor="text1" w:themeTint="BF"/>
    </w:rPr>
  </w:style>
  <w:style w:type="paragraph" w:styleId="ListParagraph">
    <w:name w:val="List Paragraph"/>
    <w:basedOn w:val="Normal"/>
    <w:uiPriority w:val="34"/>
    <w:qFormat/>
    <w:rsid w:val="00B57B48"/>
    <w:pPr>
      <w:ind w:left="720"/>
      <w:contextualSpacing/>
    </w:pPr>
  </w:style>
  <w:style w:type="character" w:styleId="IntenseEmphasis">
    <w:name w:val="Intense Emphasis"/>
    <w:basedOn w:val="DefaultParagraphFont"/>
    <w:uiPriority w:val="21"/>
    <w:qFormat/>
    <w:rsid w:val="00B57B48"/>
    <w:rPr>
      <w:i/>
      <w:iCs/>
      <w:color w:val="0F4761" w:themeColor="accent1" w:themeShade="BF"/>
    </w:rPr>
  </w:style>
  <w:style w:type="paragraph" w:styleId="IntenseQuote">
    <w:name w:val="Intense Quote"/>
    <w:basedOn w:val="Normal"/>
    <w:next w:val="Normal"/>
    <w:link w:val="IntenseQuoteChar"/>
    <w:uiPriority w:val="30"/>
    <w:qFormat/>
    <w:rsid w:val="00B57B4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57B48"/>
    <w:rPr>
      <w:i/>
      <w:iCs/>
      <w:color w:val="0F4761" w:themeColor="accent1" w:themeShade="BF"/>
    </w:rPr>
  </w:style>
  <w:style w:type="character" w:styleId="IntenseReference">
    <w:name w:val="Intense Reference"/>
    <w:basedOn w:val="DefaultParagraphFont"/>
    <w:uiPriority w:val="32"/>
    <w:qFormat/>
    <w:rsid w:val="00B57B48"/>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402</Words>
  <Characters>2297</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Евгения Гранкина</dc:creator>
  <cp:keywords/>
  <dc:description/>
  <cp:lastModifiedBy>Евгения Гранкина</cp:lastModifiedBy>
  <cp:revision>1</cp:revision>
  <dcterms:created xsi:type="dcterms:W3CDTF">2025-11-12T16:26:00Z</dcterms:created>
  <dcterms:modified xsi:type="dcterms:W3CDTF">2025-11-12T16:27:00Z</dcterms:modified>
</cp:coreProperties>
</file>